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C20 - Entry and command permission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C20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2026-09-07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C20–C20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Connected physical entry difficulty to the available ground and routed survivor orders through the shared command check. Entry execution follows a permitted and perceived opportunity; authority is not substituted for physical access.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20260919-through-C120:C20 — Entry and command permission</w:t>
            </w:r>
          </w:p>
        </w:tc>
        <w:tc>
          <w:tcPr>
            <w:tcW w:type="dxa" w:w="2880"/>
          </w:tcPr>
          <w:p>
            <w:r>
              <w:t>[Source record](../../Batches/history/c-20261003-source/Batches/C20-2026-09-07-entry-and-command-permission.md)</w:t>
            </w:r>
          </w:p>
        </w:tc>
        <w:tc>
          <w:tcPr>
            <w:tcW w:type="dxa" w:w="2880"/>
          </w:tcPr>
          <w:p>
            <w:r>
              <w:t>9cde8308584d138a31f1979f4c76ea8b83e80e7ba0c7cabb9b1d97ce4c5740de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20260919-through-C120:C20 — Entry and command permission</w:t>
      </w:r>
    </w:p>
    <w:p/>
    <w:p>
      <w:r>
        <w:t>&gt; Connected physical entry difficulty to the available ground and routed survivor orders through the shared command check. Entry execution follows a permitted and perceived opportunity; authority is not substituted for physical access.</w:t>
      </w:r>
    </w:p>
    <w:p/>
    <w:p>
      <w:r>
        <w:t>**Implementation:** partial historical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Knowledge, permission and native feasibility all remain necessary; later access/entry learning refines them.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