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C23 - Witnessed violence attribution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C23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2026-09-08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C23–C23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Distinguished observing a death from witnessing who caused it. Attribution must follow perceived evidence. The remaining witness-rule limitation is retained as open rather than converting proximity to the victim into knowledge of the killing.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20260919-through-C120:C23 — Witnessed violence attribution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record](../../Batches/history/c-20261003-source/Batches/C23-2026-09-08-witnessed-violence-attribution.md)</w:t>
            </w:r>
          </w:p>
        </w:tc>
        <w:tc>
          <w:tcPr>
            <w:tcW w:type="dxa" w:w="2880"/>
          </w:tcPr>
          <w:p>
            <w:r>
              <w:t>1ca5b968740c66760ec8b2a57faa0f2763575e8b40690b1c36f7afb066e73090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20260919-through-C120:C23 — Witnessed violence attribution</w:t>
      </w:r>
    </w:p>
    <w:p/>
    <w:p>
      <w:r>
        <w:t>&gt; Distinguished observing a death from witnessing who caused it. Attribution must follow perceived evidence. The remaining witness-rule limitation is retained as open rather than converting proximity to the victim into knowledge of the killing.</w:t>
      </w:r>
    </w:p>
    <w:p/>
    <w:p>
      <w:r>
        <w:t>**Implementation:** completed scoped open limits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Proximity grants no killer knowledge; preserve documented witness-rule limits.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