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C31 - Controller ownership and driving surface 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C33–C33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Recognized externally controlled bodies and verified the installed engine surfaces through which an NPC could drive. Former C82 was an evidence record with no mod-code change. This unit did not introduce autonomous driving; later C42 integrated it and the implementation audit found route ownership, steering and progress defects. Control ownership must remain exclusive through approach, boarding, travel and release.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20260919-through-C120:C33 — Controller ownership and driving surface verification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record](../../Batches/history/c-20261003-source/Batches/C33-2026-09-09-controller-ownership-and-driving-surface-verification.md)</w:t>
            </w:r>
          </w:p>
        </w:tc>
        <w:tc>
          <w:tcPr>
            <w:tcW w:type="dxa" w:w="2880"/>
          </w:tcPr>
          <w:p>
            <w:r>
              <w:t>797d1492ba5ddffb668c8725e5924e0548ebe8ffd174aa5c34a75f2c9714f720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20260919-through-C120:C33 — Controller ownership and driving surface verification</w:t>
      </w:r>
    </w:p>
    <w:p/>
    <w:p>
      <w:r>
        <w:t>&gt; Recognized externally controlled bodies and verified the installed engine surfaces through which an NPC could drive. Former C82 was an evidence record with no mod-code change. This unit did not introduce autonomous driving; later C42 integrated it and the implementation audit found route ownership, steering and progress defects. Control ownership must remain exclusive through approach, boarding, travel and release.</w:t>
      </w:r>
    </w:p>
    <w:p/>
    <w:p>
      <w:r>
        <w:t>**Implementation:** mixed implementation and probe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C42 separately introduces driving and records approach/steering/progress defects.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