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C36 - Player claims and inhabited ground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C36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2026-09-12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C38–C38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kohai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Exposed organizational player claims through the shared claim surface, added dormant provisioning reads and generalized inhabited places to a ranked set derived from use. A player claim is recorded with its recognition and response. Inventory, physical access and sustained action consequences still require grounded producers in both representations.</w:t>
      </w:r>
    </w:p>
    <w:p/>
    <w:p>
      <w:pPr>
        <w:pStyle w:val="Heading2"/>
      </w:pPr>
      <w:r>
        <w:t>Chronological product boundary</w:t>
      </w:r>
    </w:p>
    <w:p/>
    <w:p>
      <w:r>
        <w:t>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r>
        <w:t>Preserves the earlier product-tier classification: 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20260919-through-C120:C38 — Player claims and inhabited ground</w:t>
            </w:r>
          </w:p>
        </w:tc>
        <w:tc>
          <w:tcPr>
            <w:tcW w:type="dxa" w:w="2880"/>
          </w:tcPr>
          <w:p>
            <w:r>
              <w:t>[Source record](../../Batches/history/c-20261003-source/Batches/C38-2026-09-12-player-claims-and-inhabited-ground.md)</w:t>
            </w:r>
          </w:p>
        </w:tc>
        <w:tc>
          <w:tcPr>
            <w:tcW w:type="dxa" w:w="2880"/>
          </w:tcPr>
          <w:p>
            <w:r>
              <w:t>e6c7aaf58a9a4670aca01f154eec7f6bbe176709f0fdf62ba9e2acb106248c6a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20260919-through-C120:C38 — Player claims and inhabited ground</w:t>
      </w:r>
    </w:p>
    <w:p/>
    <w:p>
      <w:r>
        <w:t>&gt; Exposed organizational player claims through the shared claim surface, added dormant provisioning reads and generalized inhabited places to a ranked set derived from use. A player claim is recorded with its recognition and response. Inventory, physical access and sustained action consequences still require grounded producers in both representations.</w:t>
      </w:r>
    </w:p>
    <w:p/>
    <w:p>
      <w:r>
        <w:t>**Implementation:** partial historical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Consolidated historical record; implementation limitations remain explicit.</w:t>
      </w:r>
    </w:p>
    <w:p/>
    <w:p>
      <w:r>
        <w:t>**Remaining scope retained from the source:**</w:t>
      </w:r>
    </w:p>
    <w:p/>
    <w:p>
      <w:pPr>
        <w:pStyle w:val="ListBullet"/>
      </w:pPr>
      <w:r>
        <w:t>Physical inventory/access/outcome joins were absent; later C60-C66 close bounded seams.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