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C38 - Personal need in affiliation</w:t>
      </w:r>
    </w:p>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Product record</w:t>
            </w:r>
          </w:p>
        </w:tc>
      </w:tr>
      <w:tr>
        <w:tc>
          <w:tcPr>
            <w:tcW w:type="dxa" w:w="4320"/>
          </w:tcPr>
          <w:p>
            <w:r>
              <w:t>Batch</w:t>
            </w:r>
          </w:p>
        </w:tc>
        <w:tc>
          <w:tcPr>
            <w:tcW w:type="dxa" w:w="4320"/>
          </w:tcPr>
          <w:p>
            <w:r>
              <w:t>C38</w:t>
            </w:r>
          </w:p>
        </w:tc>
      </w:tr>
      <w:tr>
        <w:tc>
          <w:tcPr>
            <w:tcW w:type="dxa" w:w="4320"/>
          </w:tcPr>
          <w:p>
            <w:r>
              <w:t>Date</w:t>
            </w:r>
          </w:p>
        </w:tc>
        <w:tc>
          <w:tcPr>
            <w:tcW w:type="dxa" w:w="4320"/>
          </w:tcPr>
          <w:p>
            <w:r>
              <w:t>2026-09-12</w:t>
            </w:r>
          </w:p>
        </w:tc>
      </w:tr>
      <w:tr>
        <w:tc>
          <w:tcPr>
            <w:tcW w:type="dxa" w:w="4320"/>
          </w:tcPr>
          <w:p>
            <w:r>
              <w:t>Generation</w:t>
            </w:r>
          </w:p>
        </w:tc>
        <w:tc>
          <w:tcPr>
            <w:tcW w:type="dxa" w:w="4320"/>
          </w:tcPr>
          <w:p>
            <w:r>
              <w:t>20261005-product-consolidation</w:t>
            </w:r>
          </w:p>
        </w:tc>
      </w:tr>
      <w:tr>
        <w:tc>
          <w:tcPr>
            <w:tcW w:type="dxa" w:w="4320"/>
          </w:tcPr>
          <w:p>
            <w:r>
              <w:t>Source generation</w:t>
            </w:r>
          </w:p>
        </w:tc>
        <w:tc>
          <w:tcPr>
            <w:tcW w:type="dxa" w:w="4320"/>
          </w:tcPr>
          <w:p>
            <w:r>
              <w:t>20260919-through-C120</w:t>
            </w:r>
          </w:p>
        </w:tc>
      </w:tr>
      <w:tr>
        <w:tc>
          <w:tcPr>
            <w:tcW w:type="dxa" w:w="4320"/>
          </w:tcPr>
          <w:p>
            <w:r>
              <w:t>Source range</w:t>
            </w:r>
          </w:p>
        </w:tc>
        <w:tc>
          <w:tcPr>
            <w:tcW w:type="dxa" w:w="4320"/>
          </w:tcPr>
          <w:p>
            <w:r>
              <w:t>C40–C40</w:t>
            </w:r>
          </w:p>
        </w:tc>
      </w:tr>
      <w:tr>
        <w:tc>
          <w:tcPr>
            <w:tcW w:type="dxa" w:w="4320"/>
          </w:tcPr>
          <w:p>
            <w:r>
              <w:t>Tier</w:t>
            </w:r>
          </w:p>
        </w:tc>
        <w:tc>
          <w:tcPr>
            <w:tcW w:type="dxa" w:w="4320"/>
          </w:tcPr>
          <w:p>
            <w:r>
              <w:t>kohai</w:t>
            </w:r>
          </w:p>
        </w:tc>
      </w:tr>
      <w:tr>
        <w:tc>
          <w:tcPr>
            <w:tcW w:type="dxa" w:w="4320"/>
          </w:tcPr>
          <w:p>
            <w:r>
              <w:t>Standing</w:t>
            </w:r>
          </w:p>
        </w:tc>
        <w:tc>
          <w:tcPr>
            <w:tcW w:type="dxa" w:w="4320"/>
          </w:tcPr>
          <w:p>
            <w:r>
              <w:t>Historical product synthesis; each component retains its exact implementation, verification, publication and remaining scope.</w:t>
            </w:r>
          </w:p>
        </w:tc>
      </w:tr>
    </w:tbl>
    <w:p/>
    <w:p>
      <w:pPr>
        <w:pStyle w:val="Heading2"/>
      </w:pPr>
      <w:r>
        <w:t>Product outcome</w:t>
      </w:r>
    </w:p>
    <w:p/>
    <w:p>
      <w:r>
        <w:t>Added personal need alongside trust in affiliation. Individual circumstances and experienced relationships condition company formation. The later repair removes fixed membership quotas and guards private knowledge, while broader affiliation producers and their evidence remain incomplete.</w:t>
      </w:r>
    </w:p>
    <w:p/>
    <w:p>
      <w:pPr>
        <w:pStyle w:val="Heading2"/>
      </w:pPr>
      <w:r>
        <w:t>Chronological product boundary</w:t>
      </w:r>
    </w:p>
    <w:p/>
    <w:p>
      <w:r>
        <w:t>Retains the substantive product boundary established by the operator-authorized 2026-09-19 consolidation. Its exact original source includes the implementation assessment, cause-specific corrections and remaining scope; later related work stays in its chronological product.</w:t>
      </w:r>
    </w:p>
    <w:p/>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p/>
    <w:p>
      <w:pPr>
        <w:pStyle w:val="Heading2"/>
      </w:pPr>
      <w:r>
        <w:t>Source contributions and custody</w:t>
      </w:r>
    </w:p>
    <w:p/>
    <w:tbl>
      <w:tblPr>
        <w:tblStyle w:val="TableGrid"/>
        <w:tblW w:type="auto" w:w="0"/>
        <w:tblLook w:firstColumn="1" w:firstRow="1" w:lastColumn="0" w:lastRow="0" w:noHBand="0" w:noVBand="1" w:val="04A0"/>
      </w:tblPr>
      <w:tblGrid>
        <w:gridCol w:w="2880"/>
        <w:gridCol w:w="2880"/>
        <w:gridCol w:w="2880"/>
      </w:tblGrid>
      <w:tr>
        <w:tc>
          <w:tcPr>
            <w:tcW w:type="dxa" w:w="2880"/>
          </w:tcPr>
          <w:p>
            <w:r>
              <w:t>Original contribution</w:t>
            </w:r>
          </w:p>
        </w:tc>
        <w:tc>
          <w:tcPr>
            <w:tcW w:type="dxa" w:w="2880"/>
          </w:tcPr>
          <w:p>
            <w:r>
              <w:t>Exact immutable record</w:t>
            </w:r>
          </w:p>
        </w:tc>
        <w:tc>
          <w:tcPr>
            <w:tcW w:type="dxa" w:w="2880"/>
          </w:tcPr>
          <w:p>
            <w:r>
              <w:t>SHA-256</w:t>
            </w:r>
          </w:p>
        </w:tc>
      </w:tr>
      <w:tr>
        <w:tc>
          <w:tcPr>
            <w:tcW w:type="dxa" w:w="2880"/>
          </w:tcPr>
          <w:p>
            <w:r>
              <w:t>20260919-through-C120:C40 — Personal need in affiliation</w:t>
            </w:r>
          </w:p>
        </w:tc>
        <w:tc>
          <w:tcPr>
            <w:tcW w:type="dxa" w:w="2880"/>
          </w:tcPr>
          <w:p>
            <w:r>
              <w:t>[Source record](../../Batches/history/c-20261003-source/Batches/C40-2026-09-12-personal-need-in-affiliation.md)</w:t>
            </w:r>
          </w:p>
        </w:tc>
        <w:tc>
          <w:tcPr>
            <w:tcW w:type="dxa" w:w="2880"/>
          </w:tcPr>
          <w:p>
            <w:r>
              <w:t>be21e5557d424f91d9bb3ee131b48c694e225788ced7083d8871b12f3de59470</w:t>
            </w:r>
          </w:p>
        </w:tc>
      </w:tr>
    </w:tbl>
    <w:p/>
    <w:p>
      <w:r>
        <w:t>Each original contributes once to the product/version chronology. Its many-to-many shared-contract links remain in the unchanged ownership projection, and nonadjacent related work stays later in the chronology.</w:t>
      </w:r>
    </w:p>
    <w:p/>
    <w:p>
      <w:pPr>
        <w:pStyle w:val="Heading2"/>
      </w:pPr>
      <w:r>
        <w:t>Delivered mechanisms and evidence boundaries</w:t>
      </w:r>
    </w:p>
    <w:p/>
    <w:p>
      <w:r>
        <w:t>The following excerpts preserve the source prose; relative navigation is resolved from this product record. The exact original record above owns the full context, mechanisms, controls and corrections.</w:t>
      </w:r>
    </w:p>
    <w:p/>
    <w:p>
      <w:pPr>
        <w:pStyle w:val="Heading3"/>
      </w:pPr>
      <w:r>
        <w:t>20260919-through-C120:C40 — Personal need in affiliation</w:t>
      </w:r>
    </w:p>
    <w:p/>
    <w:p>
      <w:r>
        <w:t>&gt; Added personal need alongside trust in affiliation. Individual circumstances and experienced relationships condition company formation. The later repair removes fixed membership quotas and guards private knowledge, while broader affiliation producers and their evidence remain incomplete.</w:t>
      </w:r>
    </w:p>
    <w:p/>
    <w:p>
      <w:r>
        <w:t>**Implementation:** partial historical</w:t>
      </w:r>
    </w:p>
    <w:p/>
    <w:p>
      <w:r>
        <w:t>**Verification:** source-scoped evidence and limits retained in archived record</w:t>
      </w:r>
    </w:p>
    <w:p/>
    <w:p>
      <w:r>
        <w:t>**Publication:** committed-at-source-head</w:t>
      </w:r>
    </w:p>
    <w:p/>
    <w:p>
      <w:r>
        <w:t>**Original standing:** Consolidated historical record; implementation limitations remain explicit.</w:t>
      </w:r>
    </w:p>
    <w:p/>
    <w:p>
      <w:r>
        <w:t>**Remaining scope retained from the source:**</w:t>
      </w:r>
    </w:p>
    <w:p/>
    <w:p>
      <w:pPr>
        <w:pStyle w:val="ListBullet"/>
      </w:pPr>
      <w:r>
        <w:t>Later fixed-quota removal does not close every producer; D requires causal membership/reception.</w:t>
      </w:r>
    </w:p>
    <w:p/>
    <w:p>
      <w:pPr>
        <w:pStyle w:val="Heading2"/>
      </w:pPr>
      <w:r>
        <w:t>Historical interpretation</w:t>
      </w:r>
    </w:p>
    <w:p/>
    <w:p>
      <w:r>
        <w:t>This record consolidates development substance and its supporting integration, verification and publication. It supplies no new runtime, native-trial, learned-policy, visual-acceptance or release-maturity credit. Historical failures, incomplete work, source corrections and later D-era outcomes retain their dated generation-qualified records.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