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C40 - Driving integration and configuration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Product record</w:t>
            </w:r>
          </w:p>
        </w:tc>
      </w:tr>
      <w:tr>
        <w:tc>
          <w:tcPr>
            <w:tcW w:type="dxa" w:w="4320"/>
          </w:tcPr>
          <w:p>
            <w:r>
              <w:t>Batch</w:t>
            </w:r>
          </w:p>
        </w:tc>
        <w:tc>
          <w:tcPr>
            <w:tcW w:type="dxa" w:w="4320"/>
          </w:tcPr>
          <w:p>
            <w:r>
              <w:t>C40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2026-09-13</w:t>
            </w:r>
          </w:p>
        </w:tc>
      </w:tr>
      <w:tr>
        <w:tc>
          <w:tcPr>
            <w:tcW w:type="dxa" w:w="4320"/>
          </w:tcPr>
          <w:p>
            <w:r>
              <w:t>Generation</w:t>
            </w:r>
          </w:p>
        </w:tc>
        <w:tc>
          <w:tcPr>
            <w:tcW w:type="dxa" w:w="4320"/>
          </w:tcPr>
          <w:p>
            <w:r>
              <w:t>20261005-product-consolidation</w:t>
            </w:r>
          </w:p>
        </w:tc>
      </w:tr>
      <w:tr>
        <w:tc>
          <w:tcPr>
            <w:tcW w:type="dxa" w:w="4320"/>
          </w:tcPr>
          <w:p>
            <w:r>
              <w:t>Source generation</w:t>
            </w:r>
          </w:p>
        </w:tc>
        <w:tc>
          <w:tcPr>
            <w:tcW w:type="dxa" w:w="4320"/>
          </w:tcPr>
          <w:p>
            <w:r>
              <w:t>20260919-through-C120</w:t>
            </w:r>
          </w:p>
        </w:tc>
      </w:tr>
      <w:tr>
        <w:tc>
          <w:tcPr>
            <w:tcW w:type="dxa" w:w="4320"/>
          </w:tcPr>
          <w:p>
            <w:r>
              <w:t>Source range</w:t>
            </w:r>
          </w:p>
        </w:tc>
        <w:tc>
          <w:tcPr>
            <w:tcW w:type="dxa" w:w="4320"/>
          </w:tcPr>
          <w:p>
            <w:r>
              <w:t>C42–C42</w:t>
            </w:r>
          </w:p>
        </w:tc>
      </w:tr>
      <w:tr>
        <w:tc>
          <w:tcPr>
            <w:tcW w:type="dxa" w:w="4320"/>
          </w:tcPr>
          <w:p>
            <w:r>
              <w:t>Tier</w:t>
            </w:r>
          </w:p>
        </w:tc>
        <w:tc>
          <w:tcPr>
            <w:tcW w:type="dxa" w:w="4320"/>
          </w:tcPr>
          <w:p>
            <w:r>
              <w:t>kohai</w:t>
            </w:r>
          </w:p>
        </w:tc>
      </w:tr>
      <w:tr>
        <w:tc>
          <w:tcPr>
            <w:tcW w:type="dxa" w:w="4320"/>
          </w:tcPr>
          <w:p>
            <w:r>
              <w:t>Standing</w:t>
            </w:r>
          </w:p>
        </w:tc>
        <w:tc>
          <w:tcPr>
            <w:tcW w:type="dxa" w:w="4320"/>
          </w:tcPr>
          <w:p>
            <w:r>
              <w:t>Historical product synthesis; each component retains its exact implementation, verification, publication and remaining scope.</w:t>
            </w:r>
          </w:p>
        </w:tc>
      </w:tr>
    </w:tbl>
    <w:p/>
    <w:p>
      <w:pPr>
        <w:pStyle w:val="Heading2"/>
      </w:pPr>
      <w:r>
        <w:t>Product outcome</w:t>
      </w:r>
    </w:p>
    <w:p/>
    <w:p>
      <w:r>
        <w:t>Extended ordinary driving and wired the three associated configuration choices. The option wiring is retained. Driving requires substantial repair: its approach can cancel itself, unchanged status text cancels moving vehicles, promised passengers are not waited for, and rearward destinations can produce forward travel.</w:t>
      </w:r>
    </w:p>
    <w:p/>
    <w:p>
      <w:pPr>
        <w:pStyle w:val="Heading2"/>
      </w:pPr>
      <w:r>
        <w:t>Chronological product boundary</w:t>
      </w:r>
    </w:p>
    <w:p/>
    <w:p>
      <w:r>
        <w:t>Retains the substantive product boundary established by the operator-authorized 2026-09-19 consolidation. Its exact original source includes the implementation assessment, cause-specific corrections and remaining scope; later related work stays in its chronological product.</w:t>
      </w:r>
    </w:p>
    <w:p/>
    <w:p>
      <w:r>
        <w:t>Preserves the earlier product-tier classification: Retains the substantive product boundary established by the operator-authorized 2026-09-19 consolidation. Its exact original source includes the implementation assessment, cause-specific corrections and remaining scope; later related work stays in its chronological product.</w:t>
      </w:r>
    </w:p>
    <w:p/>
    <w:p>
      <w:pPr>
        <w:pStyle w:val="Heading2"/>
      </w:pPr>
      <w:r>
        <w:t>Source contributions and custody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Original contribution</w:t>
            </w:r>
          </w:p>
        </w:tc>
        <w:tc>
          <w:tcPr>
            <w:tcW w:type="dxa" w:w="2880"/>
          </w:tcPr>
          <w:p>
            <w:r>
              <w:t>Exact immutable record</w:t>
            </w:r>
          </w:p>
        </w:tc>
        <w:tc>
          <w:tcPr>
            <w:tcW w:type="dxa" w:w="2880"/>
          </w:tcPr>
          <w:p>
            <w:r>
              <w:t>SHA-256</w:t>
            </w:r>
          </w:p>
        </w:tc>
      </w:tr>
      <w:tr>
        <w:tc>
          <w:tcPr>
            <w:tcW w:type="dxa" w:w="2880"/>
          </w:tcPr>
          <w:p>
            <w:r>
              <w:t>20260919-through-C120:C42 — Driving integration and configuration</w:t>
            </w:r>
          </w:p>
        </w:tc>
        <w:tc>
          <w:tcPr>
            <w:tcW w:type="dxa" w:w="2880"/>
          </w:tcPr>
          <w:p>
            <w:r>
              <w:t>[Source record](../../Batches/history/c-20261003-source/Batches/C42-2026-09-13-driving-integration-and-configuration.md)</w:t>
            </w:r>
          </w:p>
        </w:tc>
        <w:tc>
          <w:tcPr>
            <w:tcW w:type="dxa" w:w="2880"/>
          </w:tcPr>
          <w:p>
            <w:r>
              <w:t>d49ba78ad8548d9dddb8a7aaa9e66de0e4232243b5ce13f399f216eed8c78b5a</w:t>
            </w:r>
          </w:p>
        </w:tc>
      </w:tr>
    </w:tbl>
    <w:p/>
    <w:p>
      <w:r>
        <w:t>Each original contributes once to the product/version chronology. Its many-to-many shared-contract links remain in the unchanged ownership projection, and nonadjacent related work stays later in the chronology.</w:t>
      </w:r>
    </w:p>
    <w:p/>
    <w:p>
      <w:pPr>
        <w:pStyle w:val="Heading2"/>
      </w:pPr>
      <w:r>
        <w:t>Delivered mechanisms and evidence boundaries</w:t>
      </w:r>
    </w:p>
    <w:p/>
    <w:p>
      <w:r>
        <w:t>The following excerpts preserve the source prose; relative navigation is resolved from this product record. The exact original record above owns the full context, mechanisms, controls and corrections.</w:t>
      </w:r>
    </w:p>
    <w:p/>
    <w:p>
      <w:pPr>
        <w:pStyle w:val="Heading3"/>
      </w:pPr>
      <w:r>
        <w:t>20260919-through-C120:C42 — Driving integration and configuration</w:t>
      </w:r>
    </w:p>
    <w:p/>
    <w:p>
      <w:r>
        <w:t>&gt; Extended ordinary driving and wired the three associated configuration choices. The option wiring is retained. Driving requires substantial repair: its approach can cancel itself, unchanged status text cancels moving vehicles, promised passengers are not waited for, and rearward destinations can produce forward travel.</w:t>
      </w:r>
    </w:p>
    <w:p/>
    <w:p>
      <w:r>
        <w:t>**Implementation:** partial historical</w:t>
      </w:r>
    </w:p>
    <w:p/>
    <w:p>
      <w:r>
        <w:t>**Verification:** source-scoped evidence and limits retained in archived record</w:t>
      </w:r>
    </w:p>
    <w:p/>
    <w:p>
      <w:r>
        <w:t>**Publication:** committed-at-source-head</w:t>
      </w:r>
    </w:p>
    <w:p/>
    <w:p>
      <w:r>
        <w:t>**Original standing:** Consolidated historical record; implementation limitations remain explicit.</w:t>
      </w:r>
    </w:p>
    <w:p/>
    <w:p>
      <w:r>
        <w:t>**Remaining scope retained from the source:**</w:t>
      </w:r>
    </w:p>
    <w:p/>
    <w:p>
      <w:pPr>
        <w:pStyle w:val="ListBullet"/>
      </w:pPr>
      <w:r>
        <w:t>Valid settings proof survives; driving requires actual native approach/progress/arrival evidence.</w:t>
      </w:r>
    </w:p>
    <w:p/>
    <w:p>
      <w:pPr>
        <w:pStyle w:val="Heading2"/>
      </w:pPr>
      <w:r>
        <w:t>Historical interpretation</w:t>
      </w:r>
    </w:p>
    <w:p/>
    <w:p>
      <w:r>
        <w:t>This record consolidates development substance and its supporting integration, verification and publication. It supplies no new runtime, native-trial, learned-policy, visual-acceptance or release-maturity credit. Historical failures, incomplete work, source corrections and later D-era outcomes retain their dated generation-qualified records.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