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C61 - Source-bound native coordination shadow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C61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2026-09-25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C81–C82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minor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Independent synthetic situation lineages produce real recipient appraisals for a reference family, and a verified exported learned bundle can run asynchronously against the corresponding native decision-time input. Its prediction is observational shadow state and cannot choose or deliver the authoritative response.</w:t>
      </w:r>
    </w:p>
    <w:p/>
    <w:p>
      <w:pPr>
        <w:pStyle w:val="Heading2"/>
      </w:pPr>
      <w:r>
        <w:t>Chronological product boundary</w:t>
      </w:r>
    </w:p>
    <w:p/>
    <w:p>
      <w:r>
        <w:t>Source generation and native verified model consumption complete the first coordination-shadow product. This is an actual learned runtime boundary with explicitly bounded authority, rather than a new authoritative actor policy.</w:t>
      </w:r>
    </w:p>
    <w:p/>
    <w:p>
      <w:r>
        <w:t>Establishes a new player-visible capability or authoring/runtime contract. Source generation and native verified model consumption complete the first coordination-shadow product. This is an actual learned runtime boundary with explicitly bounded authority, rather than a new authoritative actor policy.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20260919-through-C120:C81 — Coordination reference source</w:t>
            </w:r>
          </w:p>
        </w:tc>
        <w:tc>
          <w:tcPr>
            <w:tcW w:type="dxa" w:w="2880"/>
          </w:tcPr>
          <w:p>
            <w:r>
              <w:t>[Source record](../../Batches/history/c-20261003-source/Batches/C81-20260925-0221Z-1921PST-coordination-reference-source.md)</w:t>
            </w:r>
          </w:p>
        </w:tc>
        <w:tc>
          <w:tcPr>
            <w:tcW w:type="dxa" w:w="2880"/>
          </w:tcPr>
          <w:p>
            <w:r>
              <w:t>1ce68adc98492a08cdfd23f9ff692fa3ea543f7550f088eac9b2ddb0d01f78c9</w:t>
            </w:r>
          </w:p>
        </w:tc>
      </w:tr>
      <w:tr>
        <w:tc>
          <w:tcPr>
            <w:tcW w:type="dxa" w:w="2880"/>
          </w:tcPr>
          <w:p>
            <w:r>
              <w:t>20260919-through-C120:C82 — Native coordination shadow</w:t>
            </w:r>
          </w:p>
        </w:tc>
        <w:tc>
          <w:tcPr>
            <w:tcW w:type="dxa" w:w="2880"/>
          </w:tcPr>
          <w:p>
            <w:r>
              <w:t>[Source record](../../Batches/history/c-20261003-source/Batches/C82-20260925-0525Z-2225PST-native-coordination-shadow.md)</w:t>
            </w:r>
          </w:p>
        </w:tc>
        <w:tc>
          <w:tcPr>
            <w:tcW w:type="dxa" w:w="2880"/>
          </w:tcPr>
          <w:p>
            <w:r>
              <w:t>c2c5e505ffb27ee6ab2bd726a4dd066b2e40cf8b3d019284095e68af5af5e7e6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20260919-through-C120:C81 — Coordination reference source</w:t>
      </w:r>
    </w:p>
    <w:p/>
    <w:p>
      <w:r>
        <w:t>&gt; C81 supplies a reproducible source family for the first learned coordination</w:t>
      </w:r>
    </w:p>
    <w:p>
      <w:r>
        <w:t>&gt; response experiment. The source catalogue declares twenty synthetic starting</w:t>
      </w:r>
    </w:p>
    <w:p>
      <w:r>
        <w:t>&gt; situations and assigns each independent lineage to train, validation or test</w:t>
      </w:r>
    </w:p>
    <w:p>
      <w:r>
        <w:t>&gt; before execution. It contains no expected response field.</w:t>
      </w:r>
    </w:p>
    <w:p/>
    <w:p>
      <w:r>
        <w:t>&gt; Each run raises a concrete food-delivery matter, uses Communication and</w:t>
      </w:r>
    </w:p>
    <w:p>
      <w:r>
        <w:t>&gt; Perception to establish actual reception, asks the shipped Controller to</w:t>
      </w:r>
    </w:p>
    <w:p>
      <w:r>
        <w:t>&gt; appraise it, and captures Organization's decision-time evidence before the</w:t>
      </w:r>
    </w:p>
    <w:p>
      <w:r>
        <w:t>&gt; actual return channel. Production forms four each of accept, qualify,</w:t>
      </w:r>
    </w:p>
    <w:p>
      <w:r>
        <w:t>&gt; counter-propose, defer and contest. Every observed response occurs in every</w:t>
      </w:r>
    </w:p>
    <w:p>
      <w:r>
        <w:t>&gt; partition. Decline and withdrawal remain implemented process responses but are</w:t>
      </w:r>
    </w:p>
    <w:p>
      <w:r>
        <w:t>&gt; not represented by this source family.</w:t>
      </w:r>
    </w:p>
    <w:p/>
    <w:p>
      <w:r>
        <w:t>&gt; Survivors use `SAO.Controller`. Afflicted and Crossed keep distinct pathogen</w:t>
      </w:r>
    </w:p>
    <w:p>
      <w:r>
        <w:t>&gt; audit state while both resolve the retained human shell, current work,</w:t>
      </w:r>
    </w:p>
    <w:p>
      <w:r>
        <w:t>&gt; capability and competing pressure through the registered ZAO adapter and</w:t>
      </w:r>
    </w:p>
    <w:p>
      <w:r>
        <w:t>&gt; `ZAO.Driver`. The task-facing private appraisal carries generic pressure and</w:t>
      </w:r>
    </w:p>
    <w:p>
      <w:r>
        <w:t>&gt; its source owner, not terminal state, diagnosis, diet or another actor's state.</w:t>
      </w:r>
    </w:p>
    <w:p>
      <w:r>
        <w:t>&gt; This preserves their distinct state owners without making either a separate</w:t>
      </w:r>
    </w:p>
    <w:p>
      <w:r>
        <w:t>&gt; controller or treating them as equivalent behavior.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\| Status \| Closed; complete repository gate passed. \|</w:t>
      </w:r>
    </w:p>
    <w:p/>
    <w:p>
      <w:r>
        <w:t>**Remaining scope retained from the source:**</w:t>
      </w:r>
    </w:p>
    <w:p/>
    <w:p>
      <w:pPr>
        <w:pStyle w:val="ListBullet"/>
      </w:pPr>
      <w:r>
        <w:t>Reference scenes are not natural loaded prevalence; decline/withdrawal and dormant timeout labels remain missing.</w:t>
      </w:r>
    </w:p>
    <w:p/>
    <w:p>
      <w:pPr>
        <w:pStyle w:val="Heading3"/>
      </w:pPr>
      <w:r>
        <w:t>20260919-through-C120:C82 — Native coordination shadow</w:t>
      </w:r>
    </w:p>
    <w:p/>
    <w:p>
      <w:r>
        <w:t>&gt; C82 imports Speakeasy Record 67 at merge commit</w:t>
      </w:r>
    </w:p>
    <w:p>
      <w:r>
        <w:t>&gt; `1e26f90d94720a68285fd9e96bcef016bbcf6e0a`. Its 13,050-byte bundle has</w:t>
      </w:r>
    </w:p>
    <w:p>
      <w:r>
        <w:t>&gt; SHA-256 `02edcdc1caf7489f0871f63e35af2c2cc26966ec74c0cf30eb63d155b1acb33c`.</w:t>
      </w:r>
    </w:p>
    <w:p>
      <w:r>
        <w:t>&gt; The packaged Java reader verifies that exact hash, bundle/schema/compatibility</w:t>
      </w:r>
    </w:p>
    <w:p>
      <w:r>
        <w:t>&gt; identities, tokenizer program, ordered labels, observed support, feature schema,</w:t>
      </w:r>
    </w:p>
    <w:p>
      <w:r>
        <w:t>&gt; FP32 tensors and complete source identities before inference. Missing, corrupt,</w:t>
      </w:r>
    </w:p>
    <w:p>
      <w:r>
        <w:t>&gt; truncated, trailing, non-finite or incompatible artifacts are refused.</w:t>
      </w:r>
    </w:p>
    <w:p/>
    <w:p>
      <w:r>
        <w:t>&gt; The production Organization appraisal remains authoritative. Only after its</w:t>
      </w:r>
    </w:p>
    <w:p>
      <w:r>
        <w:t>&gt; response revision exists does the Lua owner build the same compact decision-time</w:t>
      </w:r>
    </w:p>
    <w:p>
      <w:r>
        <w:t>&gt; input and 16 typed channels used by Record 66, then submit immutable strings and</w:t>
      </w:r>
    </w:p>
    <w:p>
      <w:r>
        <w:t>&gt; arrays to one low-priority daemon worker. The worker has one thread, a 64-entry</w:t>
      </w:r>
    </w:p>
    <w:p>
      <w:r>
        <w:t>&gt; queue and a 128-request pending ceiling. It returns a prediction and probabilities</w:t>
      </w:r>
    </w:p>
    <w:p>
      <w:r>
        <w:t>&gt; only to the shadow owner; it cannot select, revise or deliver a response and</w:t>
      </w:r>
    </w:p>
    <w:p>
      <w:r>
        <w:t>&gt; cannot create a commitment or work.</w:t>
      </w:r>
    </w:p>
    <w:p/>
    <w:p>
      <w:r>
        <w:t>&gt; On return, Lua requires the exact bundle and input hashes, response vocabulary,</w:t>
      </w:r>
    </w:p>
    <w:p>
      <w:r>
        <w:t>&gt; probability mask, process and response revisions, canonical input, feature and</w:t>
      </w:r>
    </w:p>
    <w:p>
      <w:r>
        <w:t>&gt; option vectors, durable body owner and the current registered execution-owner</w:t>
      </w:r>
    </w:p>
    <w:p>
      <w:r>
        <w:t>&gt; signature. Stale, foreign, malformed or owner-changed results are retained only</w:t>
      </w:r>
    </w:p>
    <w:p>
      <w:r>
        <w:t>&gt; as bounded withheld observations. World detach or graph bind cancels the Java</w:t>
      </w:r>
    </w:p>
    <w:p>
      <w:r>
        <w:t>&gt; pending map and clears Lua's transient requests and observations. No shadow</w:t>
      </w:r>
    </w:p>
    <w:p>
      <w:r>
        <w:t>&gt; state enters GraphPersistence or save data.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\| Status \| Closed; complete repository gate passed. \|</w:t>
      </w:r>
    </w:p>
    <w:p/>
    <w:p>
      <w:r>
        <w:t>**Remaining scope retained from the source:**</w:t>
      </w:r>
    </w:p>
    <w:p/>
    <w:p>
      <w:pPr>
        <w:pStyle w:val="ListBullet"/>
      </w:pPr>
      <w:r>
        <w:t>Broader tasks, loaded costs and consequential reviewed activation remain D work.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