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C68 - Source integration lineage</w:t>
      </w:r>
    </w:p>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Product record</w:t>
            </w:r>
          </w:p>
        </w:tc>
      </w:tr>
      <w:tr>
        <w:tc>
          <w:tcPr>
            <w:tcW w:type="dxa" w:w="4320"/>
          </w:tcPr>
          <w:p>
            <w:r>
              <w:t>Batch</w:t>
            </w:r>
          </w:p>
        </w:tc>
        <w:tc>
          <w:tcPr>
            <w:tcW w:type="dxa" w:w="4320"/>
          </w:tcPr>
          <w:p>
            <w:r>
              <w:t>C68</w:t>
            </w:r>
          </w:p>
        </w:tc>
      </w:tr>
      <w:tr>
        <w:tc>
          <w:tcPr>
            <w:tcW w:type="dxa" w:w="4320"/>
          </w:tcPr>
          <w:p>
            <w:r>
              <w:t>Date</w:t>
            </w:r>
          </w:p>
        </w:tc>
        <w:tc>
          <w:tcPr>
            <w:tcW w:type="dxa" w:w="4320"/>
          </w:tcPr>
          <w:p>
            <w:r>
              <w:t>2026-09-28</w:t>
            </w:r>
          </w:p>
        </w:tc>
      </w:tr>
      <w:tr>
        <w:tc>
          <w:tcPr>
            <w:tcW w:type="dxa" w:w="4320"/>
          </w:tcPr>
          <w:p>
            <w:r>
              <w:t>Generation</w:t>
            </w:r>
          </w:p>
        </w:tc>
        <w:tc>
          <w:tcPr>
            <w:tcW w:type="dxa" w:w="4320"/>
          </w:tcPr>
          <w:p>
            <w:r>
              <w:t>20261005-product-consolidation</w:t>
            </w:r>
          </w:p>
        </w:tc>
      </w:tr>
      <w:tr>
        <w:tc>
          <w:tcPr>
            <w:tcW w:type="dxa" w:w="4320"/>
          </w:tcPr>
          <w:p>
            <w:r>
              <w:t>Source generation</w:t>
            </w:r>
          </w:p>
        </w:tc>
        <w:tc>
          <w:tcPr>
            <w:tcW w:type="dxa" w:w="4320"/>
          </w:tcPr>
          <w:p>
            <w:r>
              <w:t>20260919-through-C120</w:t>
            </w:r>
          </w:p>
        </w:tc>
      </w:tr>
      <w:tr>
        <w:tc>
          <w:tcPr>
            <w:tcW w:type="dxa" w:w="4320"/>
          </w:tcPr>
          <w:p>
            <w:r>
              <w:t>Source range</w:t>
            </w:r>
          </w:p>
        </w:tc>
        <w:tc>
          <w:tcPr>
            <w:tcW w:type="dxa" w:w="4320"/>
          </w:tcPr>
          <w:p>
            <w:r>
              <w:t>C97–C97</w:t>
            </w:r>
          </w:p>
        </w:tc>
      </w:tr>
      <w:tr>
        <w:tc>
          <w:tcPr>
            <w:tcW w:type="dxa" w:w="4320"/>
          </w:tcPr>
          <w:p>
            <w:r>
              <w:t>Tier</w:t>
            </w:r>
          </w:p>
        </w:tc>
        <w:tc>
          <w:tcPr>
            <w:tcW w:type="dxa" w:w="4320"/>
          </w:tcPr>
          <w:p>
            <w:r>
              <w:t>kohai</w:t>
            </w:r>
          </w:p>
        </w:tc>
      </w:tr>
      <w:tr>
        <w:tc>
          <w:tcPr>
            <w:tcW w:type="dxa" w:w="4320"/>
          </w:tcPr>
          <w:p>
            <w:r>
              <w:t>Standing</w:t>
            </w:r>
          </w:p>
        </w:tc>
        <w:tc>
          <w:tcPr>
            <w:tcW w:type="dxa" w:w="4320"/>
          </w:tcPr>
          <w:p>
            <w:r>
              <w:t>Historical product synthesis; each component retains its exact implementation, verification, publication and remaining scope.</w:t>
            </w:r>
          </w:p>
        </w:tc>
      </w:tr>
    </w:tbl>
    <w:p/>
    <w:p>
      <w:pPr>
        <w:pStyle w:val="Heading2"/>
      </w:pPr>
      <w:r>
        <w:t>Product outcome</w:t>
      </w:r>
    </w:p>
    <w:p/>
    <w:p>
      <w:r>
        <w:t>The external-source inventory distinguishes actual integrations, domain evidence, comparisons and support libraries, preserves recovered directives and identifies missing execution/state/assessment owners.</w:t>
      </w:r>
    </w:p>
    <w:p/>
    <w:p>
      <w:pPr>
        <w:pStyle w:val="Heading2"/>
      </w:pPr>
      <w:r>
        <w:t>Chronological product boundary</w:t>
      </w:r>
    </w:p>
    <w:p/>
    <w:p>
      <w:r>
        <w:t>This structural source reconciliation matures existing integrations. A catalogue of sources establishes provenance and gaps rather than completing all listed mechanics.</w:t>
      </w:r>
    </w:p>
    <w:p/>
    <w:p>
      <w:r>
        <w:t>Extends, integrates or structurally matures an existing capability. This structural source reconciliation matures existing integrations. A catalogue of sources establishes provenance and gaps rather than completing all listed mechanics.</w:t>
      </w:r>
    </w:p>
    <w:p/>
    <w:p>
      <w:pPr>
        <w:pStyle w:val="Heading2"/>
      </w:pPr>
      <w:r>
        <w:t>Source contributions and custody</w:t>
      </w:r>
    </w:p>
    <w:p/>
    <w:tbl>
      <w:tblPr>
        <w:tblStyle w:val="TableGrid"/>
        <w:tblW w:type="auto" w:w="0"/>
        <w:tblLook w:firstColumn="1" w:firstRow="1" w:lastColumn="0" w:lastRow="0" w:noHBand="0" w:noVBand="1" w:val="04A0"/>
      </w:tblPr>
      <w:tblGrid>
        <w:gridCol w:w="2880"/>
        <w:gridCol w:w="2880"/>
        <w:gridCol w:w="2880"/>
      </w:tblGrid>
      <w:tr>
        <w:tc>
          <w:tcPr>
            <w:tcW w:type="dxa" w:w="2880"/>
          </w:tcPr>
          <w:p>
            <w:r>
              <w:t>Original contribution</w:t>
            </w:r>
          </w:p>
        </w:tc>
        <w:tc>
          <w:tcPr>
            <w:tcW w:type="dxa" w:w="2880"/>
          </w:tcPr>
          <w:p>
            <w:r>
              <w:t>Exact immutable record</w:t>
            </w:r>
          </w:p>
        </w:tc>
        <w:tc>
          <w:tcPr>
            <w:tcW w:type="dxa" w:w="2880"/>
          </w:tcPr>
          <w:p>
            <w:r>
              <w:t>SHA-256</w:t>
            </w:r>
          </w:p>
        </w:tc>
      </w:tr>
      <w:tr>
        <w:tc>
          <w:tcPr>
            <w:tcW w:type="dxa" w:w="2880"/>
          </w:tcPr>
          <w:p>
            <w:r>
              <w:t>20260919-through-C120:C97 — Source integration lineage</w:t>
            </w:r>
          </w:p>
        </w:tc>
        <w:tc>
          <w:tcPr>
            <w:tcW w:type="dxa" w:w="2880"/>
          </w:tcPr>
          <w:p>
            <w:r>
              <w:t>[Source record](../../Batches/history/c-20261003-source/Batches/C97-20260928-2053Z-1353PDT-source-integration-lineage.md)</w:t>
            </w:r>
          </w:p>
        </w:tc>
        <w:tc>
          <w:tcPr>
            <w:tcW w:type="dxa" w:w="2880"/>
          </w:tcPr>
          <w:p>
            <w:r>
              <w:t>0f5a16b05d104847316945f339ad6bb5c93c45bef94e73f76535d7deadb56ec9</w:t>
            </w:r>
          </w:p>
        </w:tc>
      </w:tr>
    </w:tbl>
    <w:p/>
    <w:p>
      <w:r>
        <w:t>Each original contributes once to the product/version chronology. Its many-to-many shared-contract links remain in the unchanged ownership projection, and nonadjacent related work stays later in the chronology.</w:t>
      </w:r>
    </w:p>
    <w:p/>
    <w:p>
      <w:pPr>
        <w:pStyle w:val="Heading2"/>
      </w:pPr>
      <w:r>
        <w:t>Delivered mechanisms and evidence boundaries</w:t>
      </w:r>
    </w:p>
    <w:p/>
    <w:p>
      <w:r>
        <w:t>The following excerpts preserve the source prose; relative navigation is resolved from this product record. The exact original record above owns the full context, mechanisms, controls and corrections.</w:t>
      </w:r>
    </w:p>
    <w:p/>
    <w:p>
      <w:pPr>
        <w:pStyle w:val="Heading3"/>
      </w:pPr>
      <w:r>
        <w:t>20260919-through-C120:C97 — Source integration lineage</w:t>
      </w:r>
    </w:p>
    <w:p/>
    <w:p>
      <w:r>
        <w:t>&gt; Claude's retained session and raw Git history establish the prior execution baseline. C29-C35 and C39-C40 built selected age, development, condition, habit and life-animation contributions into SAO and removed the condition-mod runtime requirements. The same session then reported that every other credited mod had already been ported. The C40-era credits, the later C48 implementation audit and C89 prior-art reconciliation bound that statement: real selected mechanisms landed, while broader omitted systems and incomplete vehicle, animal and action-outcome producers could not be treated as complete integration.</w:t>
      </w:r>
    </w:p>
    <w:p/>
    <w:p>
      <w:r>
        <w:t>&gt; The reconciliation is preserved at `artifacts/audits/source-integration-lineage/claim-reconciliation.md` with the Claude session id, transcript hash, JSONL evidence locations and source commits. The machine-readable contract retains four proven implementation families with producer, consumer and verification evidence. It also retains five known, non-exhaustive gaps: owned horse execution; mobile household continuity; hobby, recreation and social reward; a player physiology owner outside SAO records; and exact native outcome receipts for care, craft, build and repair.</w:t>
      </w:r>
    </w:p>
    <w:p/>
    <w:p>
      <w:r>
        <w:t>&gt; The external study catalogue now uses a separate schema and vocabulary. Six loaded entries have recovered integration directives, eighteen are domain evidence sources, one compares against an owned system and two are support libraries. These labels record provenance and present use; they do not define the ontology or exclude mechanisms at the edge of a named feature. The canonical world defines relevance through causal participation. Resolving or loading the profile cannot change an entry's ownership status or satisfy an integration directive. The source-integration border fails if the ledger begins acting as a scope authority, if a Claude-built implementation family loses its exact evidence, or if the completion-claim reconciliation disappears. Known open obligations remain visible and explicitly non-exhaustive.</w:t>
      </w:r>
    </w:p>
    <w:p/>
    <w:p>
      <w:r>
        <w:t>**Implementation:** implemented scope recorded; corrections retained</w:t>
      </w:r>
    </w:p>
    <w:p/>
    <w:p>
      <w:r>
        <w:t>**Verification:** source-scoped evidence and limits retained in archived record</w:t>
      </w:r>
    </w:p>
    <w:p/>
    <w:p>
      <w:r>
        <w:t>**Publication:** committed-at-source-head</w:t>
      </w:r>
    </w:p>
    <w:p/>
    <w:p>
      <w:r>
        <w:t>**Original standing:** \| Status \| Closed mechanically; five recovered ownership obligations remain explicitly open. \|</w:t>
      </w:r>
    </w:p>
    <w:p/>
    <w:p>
      <w:r>
        <w:t>**Remaining scope retained from the source:**</w:t>
      </w:r>
    </w:p>
    <w:p/>
    <w:p>
      <w:pPr>
        <w:pStyle w:val="ListBullet"/>
      </w:pPr>
      <w:r>
        <w:t>Inventory discovery is not integration completion; curate by actual physical owner and source rights.</w:t>
      </w:r>
    </w:p>
    <w:p/>
    <w:p>
      <w:pPr>
        <w:pStyle w:val="Heading2"/>
      </w:pPr>
      <w:r>
        <w:t>Historical interpretation</w:t>
      </w:r>
    </w:p>
    <w:p/>
    <w:p>
      <w:r>
        <w:t>This record consolidates development substance and its supporting integration, verification and publication. It supplies no new runtime, native-trial, learned-policy, visual-acceptance or release-maturity credit. Historical failures, incomplete work, source corrections and later D-era outcomes retain their dated generation-qualified records.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