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C73 - Sustained private resource planning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C104–C104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Labor and both personal interpretations retain a food or water production chain from measured needs, private resources, practical skill and accepted responsibilities through feasible inspection, acquisition, preparation or refill.</w:t>
      </w:r>
    </w:p>
    <w:p/>
    <w:p>
      <w:pPr>
        <w:pStyle w:val="Heading2"/>
      </w:pPr>
      <w:r>
        <w:t>Chronological product boundary</w:t>
      </w:r>
    </w:p>
    <w:p/>
    <w:p>
      <w:r>
        <w:t>Sustained resource purposes extend the general planner. Unknown capacities and group needs remain unavailable rather than being inferred from occupation, stock or a desired outcome.</w:t>
      </w:r>
    </w:p>
    <w:p/>
    <w:p>
      <w:r>
        <w:t>Extends, integrates or structurally matures an existing capability. Sustained resource purposes extend the general planner. Unknown capacities and group needs remain unavailable rather than being inferred from occupation, stock or a desired outcome.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20260919-through-C120:C104 — Sustained resource planning</w:t>
            </w:r>
          </w:p>
        </w:tc>
        <w:tc>
          <w:tcPr>
            <w:tcW w:type="dxa" w:w="2880"/>
          </w:tcPr>
          <w:p>
            <w:r>
              <w:t>[Source record](../../Batches/history/c-20261003-source/Batches/C104-20260930-0455Z-2155PST-sustained-resource-planning.md)</w:t>
            </w:r>
          </w:p>
        </w:tc>
        <w:tc>
          <w:tcPr>
            <w:tcW w:type="dxa" w:w="2880"/>
          </w:tcPr>
          <w:p>
            <w:r>
              <w:t>0c999ead96f9e084be5b278f8a9529d434194ca4eb8e200482f8edf3f6257c2b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20260919-through-C120:C104 — Sustained resource planning</w:t>
      </w:r>
    </w:p>
    <w:p/>
    <w:p>
      <w:r>
        <w:t>&gt; C103 could acquire a known prerequisite and prepare food, but resource pressure</w:t>
      </w:r>
    </w:p>
    <w:p>
      <w:r>
        <w:t>&gt; did not retain a personal production chain. Labor reduced capability to a short</w:t>
      </w:r>
    </w:p>
    <w:p>
      <w:r>
        <w:t>&gt; skill-gated list. Active reading returned before accepted coordination could</w:t>
      </w:r>
    </w:p>
    <w:p>
      <w:r>
        <w:t>&gt; resume. These were execution and representation gaps in the existing planner.</w:t>
      </w:r>
    </w:p>
    <w:p/>
    <w:p>
      <w:r>
        <w:t>&gt; Labor now assesses this person's measured pressure, native carried supplies,</w:t>
      </w:r>
    </w:p>
    <w:p>
      <w:r>
        <w:t>&gt; private source observations, practical skills, health, fatigue and accepted</w:t>
      </w:r>
    </w:p>
    <w:p>
      <w:r>
        <w:t>&gt; commitments. Its detached view addresses the eight canonical labor questions:</w:t>
      </w:r>
    </w:p>
    <w:p>
      <w:r>
        <w:t>&gt; present need, possible actors, time claims, material and space, open projects,</w:t>
      </w:r>
    </w:p>
    <w:p>
      <w:r>
        <w:t>&gt; group requirements, personal desires and slack. Unobserved capacities, group</w:t>
      </w:r>
    </w:p>
    <w:p>
      <w:r>
        <w:t>&gt; requirements and settlement slack remain explicit unknowns. Prior occupation</w:t>
      </w:r>
    </w:p>
    <w:p>
      <w:r>
        <w:t>&gt; remains prior life. Native zero-level skills permit basic attempts and describe</w:t>
      </w:r>
    </w:p>
    <w:p>
      <w:r>
        <w:t>&gt; technique rather than assigning an occupation or guaranteeing competence.</w:t>
      </w:r>
    </w:p>
    <w:p/>
    <w:p>
      <w:r>
        <w:t>&gt; The existing person-private planner retains food and water purposes. Current</w:t>
      </w:r>
    </w:p>
    <w:p>
      <w:r>
        <w:t>&gt; private options form inspection, exact acquisition, acquisition followed by</w:t>
      </w:r>
    </w:p>
    <w:p>
      <w:r>
        <w:t>&gt; Cooking, preparation of a currently held raw item and native refill of an owned</w:t>
      </w:r>
    </w:p>
    <w:p>
      <w:r>
        <w:t>&gt; vessel at a privately observed water fixture. The ordinary model's</w:t>
      </w:r>
    </w:p>
    <w:p>
      <w:r>
        <w:t>&gt; selection determines the actual feasible sequence. The opposing model retains</w:t>
      </w:r>
    </w:p>
    <w:p>
      <w:r>
        <w:t>&gt; its independent interpretation. Neither proposal creates an action, recipe,</w:t>
      </w:r>
    </w:p>
    <w:p>
      <w:r>
        <w:t>&gt; resource, helper capacity or successful outcome. Observed personal work durations</w:t>
      </w:r>
    </w:p>
    <w:p>
      <w:r>
        <w:t>&gt; provide uncertain time evidence; future yields and helper assent remain unknown.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Native implementation and controlled verification; the repository gate and publication complete closure. \|</w:t>
      </w:r>
    </w:p>
    <w:p/>
    <w:p>
      <w:r>
        <w:t>**Remaining scope retained from the source:**</w:t>
      </w:r>
    </w:p>
    <w:p/>
    <w:p>
      <w:pPr>
        <w:pStyle w:val="ListBullet"/>
      </w:pPr>
      <w:r>
        <w:t>Split planning, physical refill, contact and observation; private forage discovery and sustained competence remain open.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