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C74 - Source-bound resource trials and native conditions</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Product record</w:t>
            </w:r>
          </w:p>
        </w:tc>
      </w:tr>
      <w:tr>
        <w:tc>
          <w:tcPr>
            <w:tcW w:type="dxa" w:w="4320"/>
          </w:tcPr>
          <w:p>
            <w:r>
              <w:t>Batch</w:t>
            </w:r>
          </w:p>
        </w:tc>
        <w:tc>
          <w:tcPr>
            <w:tcW w:type="dxa" w:w="4320"/>
          </w:tcPr>
          <w:p>
            <w:r>
              <w:t>C74</w:t>
            </w:r>
          </w:p>
        </w:tc>
      </w:tr>
      <w:tr>
        <w:tc>
          <w:tcPr>
            <w:tcW w:type="dxa" w:w="4320"/>
          </w:tcPr>
          <w:p>
            <w:r>
              <w:t>Date</w:t>
            </w:r>
          </w:p>
        </w:tc>
        <w:tc>
          <w:tcPr>
            <w:tcW w:type="dxa" w:w="4320"/>
          </w:tcPr>
          <w:p>
            <w:r>
              <w:t>2026-09-30</w:t>
            </w:r>
          </w:p>
        </w:tc>
      </w:tr>
      <w:tr>
        <w:tc>
          <w:tcPr>
            <w:tcW w:type="dxa" w:w="4320"/>
          </w:tcPr>
          <w:p>
            <w:r>
              <w:t>Generation</w:t>
            </w:r>
          </w:p>
        </w:tc>
        <w:tc>
          <w:tcPr>
            <w:tcW w:type="dxa" w:w="4320"/>
          </w:tcPr>
          <w:p>
            <w:r>
              <w:t>20261005-product-consolidation</w:t>
            </w:r>
          </w:p>
        </w:tc>
      </w:tr>
      <w:tr>
        <w:tc>
          <w:tcPr>
            <w:tcW w:type="dxa" w:w="4320"/>
          </w:tcPr>
          <w:p>
            <w:r>
              <w:t>Source generation</w:t>
            </w:r>
          </w:p>
        </w:tc>
        <w:tc>
          <w:tcPr>
            <w:tcW w:type="dxa" w:w="4320"/>
          </w:tcPr>
          <w:p>
            <w:r>
              <w:t>20260919-through-C120</w:t>
            </w:r>
          </w:p>
        </w:tc>
      </w:tr>
      <w:tr>
        <w:tc>
          <w:tcPr>
            <w:tcW w:type="dxa" w:w="4320"/>
          </w:tcPr>
          <w:p>
            <w:r>
              <w:t>Source range</w:t>
            </w:r>
          </w:p>
        </w:tc>
        <w:tc>
          <w:tcPr>
            <w:tcW w:type="dxa" w:w="4320"/>
          </w:tcPr>
          <w:p>
            <w:r>
              <w:t>C105–C107</w:t>
            </w:r>
          </w:p>
        </w:tc>
      </w:tr>
      <w:tr>
        <w:tc>
          <w:tcPr>
            <w:tcW w:type="dxa" w:w="4320"/>
          </w:tcPr>
          <w:p>
            <w:r>
              <w:t>Tier</w:t>
            </w:r>
          </w:p>
        </w:tc>
        <w:tc>
          <w:tcPr>
            <w:tcW w:type="dxa" w:w="4320"/>
          </w:tcPr>
          <w:p>
            <w:r>
              <w:t>kohai</w:t>
            </w:r>
          </w:p>
        </w:tc>
      </w:tr>
      <w:tr>
        <w:tc>
          <w:tcPr>
            <w:tcW w:type="dxa" w:w="4320"/>
          </w:tcPr>
          <w:p>
            <w:r>
              <w:t>Standing</w:t>
            </w:r>
          </w:p>
        </w:tc>
        <w:tc>
          <w:tcPr>
            <w:tcW w:type="dxa" w:w="4320"/>
          </w:tcPr>
          <w:p>
            <w:r>
              <w:t>Historical product synthesis; each component retains its exact implementation, verification, publication and remaining scope.</w:t>
            </w:r>
          </w:p>
        </w:tc>
      </w:tr>
    </w:tbl>
    <w:p/>
    <w:p>
      <w:pPr>
        <w:pStyle w:val="Heading2"/>
      </w:pPr>
      <w:r>
        <w:t>Product outcome</w:t>
      </w:r>
    </w:p>
    <w:p/>
    <w:p>
      <w:r>
        <w:t>An authored desired resource amount is durably bound to the actual generated person without authoring means or success. Regional starting state, observed native beverage hydration, exact source approaches, terminal objective identity and one-time native hazards make these trials interpretable.</w:t>
      </w:r>
    </w:p>
    <w:p/>
    <w:p>
      <w:pPr>
        <w:pStyle w:val="Heading2"/>
      </w:pPr>
      <w:r>
        <w:t>Chronological product boundary</w:t>
      </w:r>
    </w:p>
    <w:p/>
    <w:p>
      <w:r>
        <w:t>Objective authoring, regional admission, native hydration/timing and approach/threat corrections complete one resource-trial authoring and observation chain. The initial expiries and failed routes remain evidence rather than absence-of-resources or success claims.</w:t>
      </w:r>
    </w:p>
    <w:p/>
    <w:p>
      <w:r>
        <w:t>Extends, integrates or structurally matures an existing capability. Objective authoring, regional admission, native hydration/timing and approach/threat corrections complete one resource-trial authoring and observation chain. The initial expiries and failed routes remain evidence rather than absence-of-resources or success claims.</w:t>
      </w:r>
    </w:p>
    <w:p/>
    <w:p>
      <w:pPr>
        <w:pStyle w:val="Heading2"/>
      </w:pPr>
      <w:r>
        <w:t>Source contributions and custody</w:t>
      </w:r>
    </w:p>
    <w:p/>
    <w:tbl>
      <w:tblPr>
        <w:tblStyle w:val="TableGrid"/>
        <w:tblW w:type="auto" w:w="0"/>
        <w:tblLook w:firstColumn="1" w:firstRow="1" w:lastColumn="0" w:lastRow="0" w:noHBand="0" w:noVBand="1" w:val="04A0"/>
      </w:tblPr>
      <w:tblGrid>
        <w:gridCol w:w="2880"/>
        <w:gridCol w:w="2880"/>
        <w:gridCol w:w="2880"/>
      </w:tblGrid>
      <w:tr>
        <w:tc>
          <w:tcPr>
            <w:tcW w:type="dxa" w:w="2880"/>
          </w:tcPr>
          <w:p>
            <w:r>
              <w:t>Original contribution</w:t>
            </w:r>
          </w:p>
        </w:tc>
        <w:tc>
          <w:tcPr>
            <w:tcW w:type="dxa" w:w="2880"/>
          </w:tcPr>
          <w:p>
            <w:r>
              <w:t>Exact immutable record</w:t>
            </w:r>
          </w:p>
        </w:tc>
        <w:tc>
          <w:tcPr>
            <w:tcW w:type="dxa" w:w="2880"/>
          </w:tcPr>
          <w:p>
            <w:r>
              <w:t>SHA-256</w:t>
            </w:r>
          </w:p>
        </w:tc>
      </w:tr>
      <w:tr>
        <w:tc>
          <w:tcPr>
            <w:tcW w:type="dxa" w:w="2880"/>
          </w:tcPr>
          <w:p>
            <w:r>
              <w:t>20260919-through-C120:C105 — Resource outcome trials and asynchronous observation</w:t>
            </w:r>
          </w:p>
        </w:tc>
        <w:tc>
          <w:tcPr>
            <w:tcW w:type="dxa" w:w="2880"/>
          </w:tcPr>
          <w:p>
            <w:r>
              <w:t>[Source record](../../Batches/history/c-20261003-source/Batches/C105-20260930-1100Z-0400PST-resource-outcome-trials-and-asynchronous-observation.md)</w:t>
            </w:r>
          </w:p>
        </w:tc>
        <w:tc>
          <w:tcPr>
            <w:tcW w:type="dxa" w:w="2880"/>
          </w:tcPr>
          <w:p>
            <w:r>
              <w:t>8a93f096077f1901b06cd45b044fc375d894da2fa80e1beef2d1dd8c69f87c68</w:t>
            </w:r>
          </w:p>
        </w:tc>
      </w:tr>
      <w:tr>
        <w:tc>
          <w:tcPr>
            <w:tcW w:type="dxa" w:w="2880"/>
          </w:tcPr>
          <w:p>
            <w:r>
              <w:t>20260919-through-C120:C106 — Regional study conditions, hydration and timing</w:t>
            </w:r>
          </w:p>
        </w:tc>
        <w:tc>
          <w:tcPr>
            <w:tcW w:type="dxa" w:w="2880"/>
          </w:tcPr>
          <w:p>
            <w:r>
              <w:t>[Source record](../../Batches/history/c-20261003-source/Batches/C106-20260930-1320Z-0620PST-regional-study-conditions-hydration-and-timing.md)</w:t>
            </w:r>
          </w:p>
        </w:tc>
        <w:tc>
          <w:tcPr>
            <w:tcW w:type="dxa" w:w="2880"/>
          </w:tcPr>
          <w:p>
            <w:r>
              <w:t>2bda3287d7502f3fa66e578f3c95dad30a01383405e870dd266793f7442d9b64</w:t>
            </w:r>
          </w:p>
        </w:tc>
      </w:tr>
      <w:tr>
        <w:tc>
          <w:tcPr>
            <w:tcW w:type="dxa" w:w="2880"/>
          </w:tcPr>
          <w:p>
            <w:r>
              <w:t>20260919-through-C120:C107 — Resource approaches and native threat conditions</w:t>
            </w:r>
          </w:p>
        </w:tc>
        <w:tc>
          <w:tcPr>
            <w:tcW w:type="dxa" w:w="2880"/>
          </w:tcPr>
          <w:p>
            <w:r>
              <w:t>[Source record](../../Batches/history/c-20261003-source/Batches/C107-20260930-1745Z-1045PST-resource-approaches-and-native-threat-conditions.md)</w:t>
            </w:r>
          </w:p>
        </w:tc>
        <w:tc>
          <w:tcPr>
            <w:tcW w:type="dxa" w:w="2880"/>
          </w:tcPr>
          <w:p>
            <w:r>
              <w:t>eb5b29702d00dbcd34f37f7a2c873ff4a66e0392b628616ec7a20d6a6d489bf0</w:t>
            </w:r>
          </w:p>
        </w:tc>
      </w:tr>
    </w:tbl>
    <w:p/>
    <w:p>
      <w:r>
        <w:t>Each original contributes once to the product/version chronology. Its many-to-many shared-contract links remain in the unchanged ownership projection, and nonadjacent related work stays later in the chronology.</w:t>
      </w:r>
    </w:p>
    <w:p/>
    <w:p>
      <w:pPr>
        <w:pStyle w:val="Heading2"/>
      </w:pPr>
      <w:r>
        <w:t>Delivered mechanisms and evidence boundaries</w:t>
      </w:r>
    </w:p>
    <w:p/>
    <w:p>
      <w:r>
        <w:t>The following excerpts preserve the source prose; relative navigation is resolved from this product record. The exact original record above owns the full context, mechanisms, controls and corrections.</w:t>
      </w:r>
    </w:p>
    <w:p/>
    <w:p>
      <w:pPr>
        <w:pStyle w:val="Heading3"/>
      </w:pPr>
      <w:r>
        <w:t>20260919-through-C120:C105 — Resource outcome trials and asynchronous observation</w:t>
      </w:r>
    </w:p>
    <w:p/>
    <w:p>
      <w:r>
        <w:t>&gt; Native resource trials distinguish an assigned desired outcome from a survivor's</w:t>
      </w:r>
    </w:p>
    <w:p>
      <w:r>
        <w:t>&gt; autonomous purpose. An outcome requests a measured amount of usable privately</w:t>
      </w:r>
    </w:p>
    <w:p>
      <w:r>
        <w:t>&gt; carried stock. It supplies no procedure, technique, skill, recipe, source fact,</w:t>
      </w:r>
    </w:p>
    <w:p>
      <w:r>
        <w:t>&gt; helper response or successful result. The survivor's existing private knowledge,</w:t>
      </w:r>
    </w:p>
    <w:p>
      <w:r>
        <w:t>&gt; Labor assessment, ordinary and opposing interpretations, and native action owners</w:t>
      </w:r>
    </w:p>
    <w:p>
      <w:r>
        <w:t>&gt; determine the means. Knowing a procedure and successfully executing it remains a</w:t>
      </w:r>
    </w:p>
    <w:p>
      <w:r>
        <w:t>&gt; useful mechanical baseline; this batch does not admit live taught-procedure trials.</w:t>
      </w:r>
    </w:p>
    <w:p/>
    <w:p>
      <w:r>
        <w:t>&gt; `situation.resourceObjectives` carries up to twelve typed requests. Each has an</w:t>
      </w:r>
    </w:p>
    <w:p>
      <w:r>
        <w:t>&gt; id, revision, declared site, regional actor ordinal, category, target and unit,</w:t>
      </w:r>
    </w:p>
    <w:p>
      <w:r>
        <w:t>&gt; with an optional relative game-hour deadline. The study binds one actual living</w:t>
      </w:r>
    </w:p>
    <w:p>
      <w:r>
        <w:t>&gt; represented person near the site. The binding, original source definition,</w:t>
      </w:r>
    </w:p>
    <w:p>
      <w:r>
        <w:t>&gt; experimental issuer and `OperatorDirect` authority persist across body replacement,</w:t>
      </w:r>
    </w:p>
    <w:p>
      <w:r>
        <w:t>&gt; movement, save and death. Missing or dead people cannot select a new identity.</w:t>
      </w:r>
    </w:p>
    <w:p>
      <w:r>
        <w:t>&gt; Repeated admission preserves the same request; changed facts under the same</w:t>
      </w:r>
    </w:p>
    <w:p>
      <w:r>
        <w:t>&gt; revision are refused. Active native attempts retain their owner before revision.</w:t>
      </w:r>
    </w:p>
    <w:p>
      <w:r>
        <w:t>&gt; Binding time uses `boundAtWorldAgeHours`. Admission, deadline, resolution and</w:t>
      </w:r>
    </w:p>
    <w:p>
      <w:r>
        <w:t>&gt; stock checks name their county-hour clock explicitly. These clocks can differ;</w:t>
      </w:r>
    </w:p>
    <w:p>
      <w:r>
        <w:t>&gt; the study receipt does not substitute native world age for planner deadlines.</w:t>
      </w:r>
    </w:p>
    <w:p/>
    <w:p>
      <w:r>
        <w:t>&gt; `SAO_ProceduralPlanning` retains the target through low bodily pressure. Immediate</w:t>
      </w:r>
    </w:p>
    <w:p>
      <w:r>
        <w:t>&gt; danger, bodily needs and accepted cooperation keep their existing priority.</w:t>
      </w:r>
    </w:p>
    <w:p>
      <w:r>
        <w:t>&gt; Completed native steps and goal satisfaction remain distinct: an exact refill or</w:t>
      </w:r>
    </w:p>
    <w:p>
      <w:r>
        <w:t>&gt; acquisition can complete its work while the larger target remains unmet. Current</w:t>
      </w:r>
    </w:p>
    <w:p>
      <w:r>
        <w:t>&gt; native private inventory is revalidated before satisfaction. Food counts distinct</w:t>
      </w:r>
    </w:p>
    <w:p>
      <w:r>
        <w:t>&gt; usable item identities. Water sums actual clean, nonpoisonous native water-source</w:t>
      </w:r>
    </w:p>
    <w:p>
      <w:r>
        <w:t>&gt; fluid amounts; the unit is the engine's amount rather than liters or vessel count.</w:t>
      </w:r>
    </w:p>
    <w:p>
      <w:r>
        <w:t>&gt; A bounded inventory prefix reports a lower bound. Terminal purpose retirement</w:t>
      </w:r>
    </w:p>
    <w:p>
      <w:r>
        <w:t>&gt; preserves durable request provenance and prevents replay from creating new work.</w:t>
      </w:r>
    </w:p>
    <w:p>
      <w:r>
        <w:t>&gt; Mousecat's existing person feed exposes assignment, checked stock, target,</w:t>
      </w:r>
    </w:p>
    <w:p>
      <w:r>
        <w:t>&gt; deadline and resolution, with unchecked and partial counts distinguished.</w:t>
      </w:r>
    </w:p>
    <w:p/>
    <w:p>
      <w:r>
        <w:t>**Implementation:** implemented scope recorded; corrections retained</w:t>
      </w:r>
    </w:p>
    <w:p/>
    <w:p>
      <w:r>
        <w:t>**Verification:** source-scoped evidence and limits retained in archived record</w:t>
      </w:r>
    </w:p>
    <w:p/>
    <w:p>
      <w:r>
        <w:t>**Publication:** committed-at-source-head</w:t>
      </w:r>
    </w:p>
    <w:p/>
    <w:p>
      <w:r>
        <w:t>**Original standing:** \| Status \| Mechanical closure enforced by the closing commit; publication and loaded acceptance remain separate. \|</w:t>
      </w:r>
    </w:p>
    <w:p/>
    <w:p>
      <w:r>
        <w:t>**Remaining scope retained from the source:**</w:t>
      </w:r>
    </w:p>
    <w:p/>
    <w:p>
      <w:pPr>
        <w:pStyle w:val="ListBullet"/>
      </w:pPr>
      <w:r>
        <w:t>Study objective is not autonomous motive; exporter worker differs from model shadow authority and performance conclusions.</w:t>
      </w:r>
    </w:p>
    <w:p/>
    <w:p>
      <w:pPr>
        <w:pStyle w:val="Heading3"/>
      </w:pPr>
      <w:r>
        <w:t>20260919-through-C120:C106 — Regional study conditions, hydration and timing</w:t>
      </w:r>
    </w:p>
    <w:p/>
    <w:p>
      <w:r>
        <w:t>&gt; The study authors initial people by existing observation site before native</w:t>
      </w:r>
    </w:p>
    <w:p>
      <w:r>
        <w:t>&gt; population generation. PopulationAdmissions retains identity, history, lived</w:t>
      </w:r>
    </w:p>
    <w:p>
      <w:r>
        <w:t>&gt; presence and social-unit ownership. Authored quotas describe starting conditions;</w:t>
      </w:r>
    </w:p>
    <w:p>
      <w:r>
        <w:t>&gt; actual generated identities and observed bodies determine realized coverage.</w:t>
      </w:r>
    </w:p>
    <w:p>
      <w:r>
        <w:t>&gt; The source-bound admission is persisted and consumed once. This adapter follows</w:t>
      </w:r>
    </w:p>
    <w:p>
      <w:r>
        <w:t>&gt; CAO's authored-start-before-generation ordering and actual-generated-count</w:t>
      </w:r>
    </w:p>
    <w:p>
      <w:r>
        <w:t>&gt; authority. CAO does not supply a Project Zomboid per-site allocator.</w:t>
      </w:r>
    </w:p>
    <w:p>
      <w:r>
        <w:t>&gt; `PopulationRepresentation` retains the actual returned native placement cause</w:t>
      </w:r>
    </w:p>
    <w:p>
      <w:r>
        <w:t>&gt; for these people. Missing causes remain unknown; a historical placement receipt</w:t>
      </w:r>
    </w:p>
    <w:p>
      <w:r>
        <w:t>&gt; does not establish a currently represented body.</w:t>
      </w:r>
    </w:p>
    <w:p/>
    <w:p>
      <w:r>
        <w:t>&gt; Private resource planning relates native material drink identity to the bodily</w:t>
      </w:r>
    </w:p>
    <w:p>
      <w:r>
        <w:t>&gt; thirst purpose through exact observed hydration, current permission and admitted</w:t>
      </w:r>
    </w:p>
    <w:p>
      <w:r>
        <w:t>&gt; action provenance. A survivor can select an inspected drink for native acquisition</w:t>
      </w:r>
    </w:p>
    <w:p>
      <w:r>
        <w:t>&gt; and subsequently use the existing carried-drink owner. `SAONeeds.hydrationAmount`</w:t>
      </w:r>
    </w:p>
    <w:p>
      <w:r>
        <w:t>&gt; owns the bounded safe-fluid interpretation. `SAOWorldSources` exports that actual</w:t>
      </w:r>
    </w:p>
    <w:p>
      <w:r>
        <w:t>&gt; native amount and taint state with the item revision; complete private inspection</w:t>
      </w:r>
    </w:p>
    <w:p>
      <w:r>
        <w:t>&gt; and source use carry those fields. Native Pop2 contains Cola and Pop contains</w:t>
      </w:r>
    </w:p>
    <w:p>
      <w:r>
        <w:t>&gt; ColaDiet. Both installed beverage definitions reduce thirst and join the existing</w:t>
      </w:r>
    </w:p>
    <w:p>
      <w:r>
        <w:t>&gt; Water, SodaPop, Tea and Coffee predicate. Unknown, poisonous, tainted, empty and</w:t>
      </w:r>
    </w:p>
    <w:p>
      <w:r>
        <w:t>&gt; nonfinite fluids are refused. Generic drink classification grants no hydration</w:t>
      </w:r>
    </w:p>
    <w:p>
      <w:r>
        <w:t>&gt; knowledge. Historical observations lacking the fields require fresh inspection.</w:t>
      </w:r>
    </w:p>
    <w:p/>
    <w:p>
      <w:r>
        <w:t>&gt; The planner and Labor distinguish carried hydration from clean-water stock.</w:t>
      </w:r>
    </w:p>
    <w:p>
      <w:r>
        <w:t>&gt; Exact admission relates an acquisition's drink material to the existing thirst</w:t>
      </w:r>
    </w:p>
    <w:p>
      <w:r>
        <w:t>&gt; cognition channel without relabeling its native receipt. Source, item, revision,</w:t>
      </w:r>
    </w:p>
    <w:p>
      <w:r>
        <w:t>&gt; reservation, actor and outcome must agree with the native owner. Acquisition does</w:t>
      </w:r>
    </w:p>
    <w:p>
      <w:r>
        <w:t>&gt; not imply bodily relief; the existing native drinking callback measures the actual</w:t>
      </w:r>
    </w:p>
    <w:p>
      <w:r>
        <w:t>&gt; delta. Study water objectives retain the clean native water-source amount contract.</w:t>
      </w:r>
    </w:p>
    <w:p>
      <w:r>
        <w:t>&gt; Ordinary and opposing models share only the admitted private evidence.</w:t>
      </w:r>
    </w:p>
    <w:p/>
    <w:p>
      <w:r>
        <w:t>**Implementation:** implemented scope recorded; corrections retained</w:t>
      </w:r>
    </w:p>
    <w:p/>
    <w:p>
      <w:r>
        <w:t>**Verification:** source-scoped evidence and limits retained in archived record</w:t>
      </w:r>
    </w:p>
    <w:p/>
    <w:p>
      <w:r>
        <w:t>**Publication:** committed-at-source-head</w:t>
      </w:r>
    </w:p>
    <w:p/>
    <w:p>
      <w:r>
        <w:t>**Original standing:** \| Status \| Mechanical closure enforced by the closing commit; publication and loaded acceptance remain separate. \|</w:t>
      </w:r>
    </w:p>
    <w:p/>
    <w:p>
      <w:r>
        <w:t>**Remaining scope retained from the source:**</w:t>
      </w:r>
    </w:p>
    <w:p/>
    <w:p>
      <w:pPr>
        <w:pStyle w:val="ListBullet"/>
      </w:pPr>
      <w:r>
        <w:t>Failed trials/expired goals remain failures; population controls/timing establish neither competence nor county fidelity.</w:t>
      </w:r>
    </w:p>
    <w:p/>
    <w:p>
      <w:pPr>
        <w:pStyle w:val="Heading3"/>
      </w:pPr>
      <w:r>
        <w:t>20260919-through-C120:C107 — Resource approaches and native threat conditions</w:t>
      </w:r>
    </w:p>
    <w:p/>
    <w:p>
      <w:r>
        <w:t>&gt; C106 generated and represented four people per area. All three stock requests</w:t>
      </w:r>
    </w:p>
    <w:p>
      <w:r>
        <w:t>&gt; originally expired with zero held stock. Later death incorrectly changed the</w:t>
      </w:r>
    </w:p>
    <w:p>
      <w:r>
        <w:t>&gt; observation's terminal reason; earlier frames and the original resolution time</w:t>
      </w:r>
    </w:p>
    <w:p>
      <w:r>
        <w:t>&gt; retain the expiry. Failed routes do not establish an absence of world resources.</w:t>
      </w:r>
    </w:p>
    <w:p/>
    <w:p>
      <w:r>
        <w:t>&gt; CAO's transferable test shape is declared physical conditions through native</w:t>
      </w:r>
    </w:p>
    <w:p>
      <w:r>
        <w:t>&gt; owners with actual admission checks and retained identities (DevTestModule fire</w:t>
      </w:r>
    </w:p>
    <w:p>
      <w:r>
        <w:t>&gt; tests). RegionalGenerationPerformanceModule preserves native fallback and</w:t>
      </w:r>
    </w:p>
    <w:p>
      <w:r>
        <w:t>&gt; original exceptions in owned scopes. SAO's threat schema is new; there is no</w:t>
      </w:r>
    </w:p>
    <w:p>
      <w:r>
        <w:t>&gt; claimed pre-existing CAO zombie schema.</w:t>
      </w:r>
    </w:p>
    <w:p/>
    <w:p>
      <w:r>
        <w:t>&gt; Actual C106 full-minute windows measured7.1176 normal and2.2792 fast native</w:t>
      </w:r>
    </w:p>
    <w:p>
      <w:r>
        <w:t>&gt; callbacks/s. These are callback rates, not scanout or Mousecat delivery. JFR put</w:t>
      </w:r>
    </w:p>
    <w:p>
      <w:r>
        <w:t>&gt; about95.5% of main-thread samples in Lua execution;717 samples included</w:t>
      </w:r>
    </w:p>
    <w:p>
      <w:r>
        <w:t>&gt; instruction breakpoint lookup. Inclusive exporter timings omit pure Lua</w:t>
      </w:r>
    </w:p>
    <w:p>
      <w:r>
        <w:t>&gt; assembly. No attributed speedup,60/120FPS, accelerator equivalence or aggregate</w:t>
      </w:r>
    </w:p>
    <w:p>
      <w:r>
        <w:t>&gt; model training follows. Multi-view image publication retains its10sets/s cap.</w:t>
      </w:r>
    </w:p>
    <w:p/>
    <w:p>
      <w:r>
        <w:t>**Implementation:** implemented scope recorded; corrections retained</w:t>
      </w:r>
    </w:p>
    <w:p/>
    <w:p>
      <w:r>
        <w:t>**Verification:** source-scoped evidence and limits retained in archived record</w:t>
      </w:r>
    </w:p>
    <w:p/>
    <w:p>
      <w:r>
        <w:t>**Publication:** committed-at-source-head</w:t>
      </w:r>
    </w:p>
    <w:p/>
    <w:p>
      <w:r>
        <w:t>**Original standing:** Retain source narrative closure and evidence.</w:t>
      </w:r>
    </w:p>
    <w:p/>
    <w:p>
      <w:r>
        <w:t>**Remaining scope retained from the source:**</w:t>
      </w:r>
    </w:p>
    <w:p/>
    <w:p>
      <w:pPr>
        <w:pStyle w:val="ListBullet"/>
      </w:pPr>
      <w:r>
        <w:t>Split route lifecycle from hazards/instrumentation; permission and exact transfer still revalidate at mutation.</w:t>
      </w:r>
    </w:p>
    <w:p/>
    <w:p>
      <w:pPr>
        <w:pStyle w:val="Heading2"/>
      </w:pPr>
      <w:r>
        <w:t>Historical interpretation</w:t>
      </w:r>
    </w:p>
    <w:p/>
    <w:p>
      <w:r>
        <w:t>This record consolidates development substance and its supporting integration, verification and publication. It supplies no new runtime, native-trial, learned-policy, visual-acceptance or release-maturity credit. Historical failures, incomplete work, source corrections and later D-era outcomes retain their dated generation-qualified records.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