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C75 - Private survival planning and residence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C75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2026-09-30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C108–C108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Personal resource, danger, responsibility and known place context condition independent alternatives and residence/recovery purposes. Exact inspection admissions and outcomes support reassessment without granting unseen stock or safety.</w:t>
      </w:r>
    </w:p>
    <w:p/>
    <w:p>
      <w:pPr>
        <w:pStyle w:val="Heading2"/>
      </w:pPr>
      <w:r>
        <w:t>Chronological product boundary</w:t>
      </w:r>
    </w:p>
    <w:p/>
    <w:p>
      <w:r>
        <w:t>This coherently extends individual survival planning rather than the experimental trial issuer. Policy weights remain explicit ordinal choices, not learned calibration.</w:t>
      </w:r>
    </w:p>
    <w:p/>
    <w:p>
      <w:r>
        <w:t>Extends, integrates or structurally matures an existing capability. This coherently extends individual survival planning rather than the experimental trial issuer. Policy weights remain explicit ordinal choices, not learned calibration.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20260919-through-C120:C108 — Private survival planning and residence</w:t>
            </w:r>
          </w:p>
        </w:tc>
        <w:tc>
          <w:tcPr>
            <w:tcW w:type="dxa" w:w="2880"/>
          </w:tcPr>
          <w:p>
            <w:r>
              <w:t>[Source record](../../Batches/history/c-20261003-source/Batches/C108-20260930-2000Z-1300PST-private-survival-planning-and-residence.md)</w:t>
            </w:r>
          </w:p>
        </w:tc>
        <w:tc>
          <w:tcPr>
            <w:tcW w:type="dxa" w:w="2880"/>
          </w:tcPr>
          <w:p>
            <w:r>
              <w:t>b58c43e4b323edf3f0739f3bdf17110eb2772a3e6dc5ea7513588dc3f2c55b14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20260919-through-C120:C108 — Private survival planning and residence</w:t>
      </w:r>
    </w:p>
    <w:p/>
    <w:p>
      <w:r>
        <w:t>&gt; Resource appraisal combines this person's native position, private source or</w:t>
      </w:r>
    </w:p>
    <w:p>
      <w:r>
        <w:t>&gt; visually observed holder location, lived-home coordinates, acquired food requests,</w:t>
      </w:r>
    </w:p>
    <w:p>
      <w:r>
        <w:t>&gt; accepted delivery responsibilities and remembered threats. It does not read</w:t>
      </w:r>
    </w:p>
    <w:p>
      <w:r>
        <w:t>&gt; nearby container contents, infer another person's capacity or assent, or resolve</w:t>
      </w:r>
    </w:p>
    <w:p>
      <w:r>
        <w:t>&gt; somebody else's request from the actor's inventory. Absence of a remembered threat</w:t>
      </w:r>
    </w:p>
    <w:p>
      <w:r>
        <w:t>&gt; remains unknown safety. Straight-line approach and home-return distances provide</w:t>
      </w:r>
    </w:p>
    <w:p>
      <w:r>
        <w:t>&gt; ordinal comparisons; barriers, route coverage and duration remain unconfirmed.</w:t>
      </w:r>
    </w:p>
    <w:p/>
    <w:p>
      <w:r>
        <w:t>&gt; The ordinary and associative models independently rank the same alternatives.</w:t>
      </w:r>
    </w:p>
    <w:p>
      <w:r>
        <w:t>&gt; Their respective danger, travel and request terms also survive candidate</w:t>
      </w:r>
    </w:p>
    <w:p>
      <w:r>
        <w:t>&gt; truncation and ordinary fallback. Coefficients are explicit ordinal policy,</w:t>
      </w:r>
    </w:p>
    <w:p>
      <w:r>
        <w:t>&gt; not learned calibration. Existing purpose observation carries detached appraisals,</w:t>
      </w:r>
    </w:p>
    <w:p>
      <w:r>
        <w:t>&gt; interpretations and unresolved uncertainty to Mousecat.</w:t>
      </w:r>
    </w:p>
    <w:p/>
    <w:p>
      <w:r>
        <w:t>&gt; Terminal inspection delivery retries until acknowledged. Admission alone grants</w:t>
      </w:r>
    </w:p>
    <w:p>
      <w:r>
        <w:t>&gt; no contents or practice; detached/foreign results cannot forge completion. Saved</w:t>
      </w:r>
    </w:p>
    <w:p>
      <w:r>
        <w:t>&gt; runtime loss and actual death retire the attempt as interrupted. Unacknowledged</w:t>
      </w:r>
    </w:p>
    <w:p>
      <w:r>
        <w:t>&gt; results remain retained and cannot be evicted by the bounded receipt list.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Retain source narrative closure and evidence.</w:t>
      </w:r>
    </w:p>
    <w:p/>
    <w:p>
      <w:r>
        <w:t>**Remaining scope retained from the source:**</w:t>
      </w:r>
    </w:p>
    <w:p/>
    <w:p>
      <w:pPr>
        <w:pStyle w:val="ListBullet"/>
      </w:pPr>
      <w:r>
        <w:t>Home is not property, arrival is not recovery, and group truth is not private knowledge; broader reasoning follows existing owners.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