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C80 - Continuous independent person observation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Product record</w:t>
            </w:r>
          </w:p>
        </w:tc>
      </w:tr>
      <w:tr>
        <w:tc>
          <w:tcPr>
            <w:tcW w:type="dxa" w:w="4320"/>
          </w:tcPr>
          <w:p>
            <w:r>
              <w:t>Batch</w:t>
            </w:r>
          </w:p>
        </w:tc>
        <w:tc>
          <w:tcPr>
            <w:tcW w:type="dxa" w:w="4320"/>
          </w:tcPr>
          <w:p>
            <w:r>
              <w:t>C80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2026-10-03</w:t>
            </w:r>
          </w:p>
        </w:tc>
      </w:tr>
      <w:tr>
        <w:tc>
          <w:tcPr>
            <w:tcW w:type="dxa" w:w="4320"/>
          </w:tcPr>
          <w:p>
            <w:r>
              <w:t>Generation</w:t>
            </w:r>
          </w:p>
        </w:tc>
        <w:tc>
          <w:tcPr>
            <w:tcW w:type="dxa" w:w="4320"/>
          </w:tcPr>
          <w:p>
            <w:r>
              <w:t>20261005-product-consolidation</w:t>
            </w:r>
          </w:p>
        </w:tc>
      </w:tr>
      <w:tr>
        <w:tc>
          <w:tcPr>
            <w:tcW w:type="dxa" w:w="4320"/>
          </w:tcPr>
          <w:p>
            <w:r>
              <w:t>Source generation</w:t>
            </w:r>
          </w:p>
        </w:tc>
        <w:tc>
          <w:tcPr>
            <w:tcW w:type="dxa" w:w="4320"/>
          </w:tcPr>
          <w:p>
            <w:r>
              <w:t>20260919-through-C120</w:t>
            </w:r>
          </w:p>
        </w:tc>
      </w:tr>
      <w:tr>
        <w:tc>
          <w:tcPr>
            <w:tcW w:type="dxa" w:w="4320"/>
          </w:tcPr>
          <w:p>
            <w:r>
              <w:t>Source range</w:t>
            </w:r>
          </w:p>
        </w:tc>
        <w:tc>
          <w:tcPr>
            <w:tcW w:type="dxa" w:w="4320"/>
          </w:tcPr>
          <w:p>
            <w:r>
              <w:t>C113–C116</w:t>
            </w:r>
          </w:p>
        </w:tc>
      </w:tr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minor</w:t>
            </w:r>
          </w:p>
        </w:tc>
      </w:tr>
      <w:tr>
        <w:tc>
          <w:tcPr>
            <w:tcW w:type="dxa" w:w="4320"/>
          </w:tcPr>
          <w:p>
            <w:r>
              <w:t>Standing</w:t>
            </w:r>
          </w:p>
        </w:tc>
        <w:tc>
          <w:tcPr>
            <w:tcW w:type="dxa" w:w="4320"/>
          </w:tcPr>
          <w:p>
            <w:r>
              <w:t>Historical product synthesis; each component retains its exact implementation, verification, publication and remaining scope.</w:t>
            </w:r>
          </w:p>
        </w:tc>
      </w:tr>
    </w:tbl>
    <w:p/>
    <w:p>
      <w:pPr>
        <w:pStyle w:val="Heading2"/>
      </w:pPr>
      <w:r>
        <w:t>Product outcome</w:t>
      </w:r>
    </w:p>
    <w:p/>
    <w:p>
      <w:r>
        <w:t>Independent source-bound subject layouts maintain selected people across native saved attempts. Uncapped rendering and asynchronous capture provide actual PNG/H264 pixels, bounded encoder/fragment custody and crop geometry while preserving achieved cadence, drops and gaps as measured source facts.</w:t>
      </w:r>
    </w:p>
    <w:p/>
    <w:p>
      <w:pPr>
        <w:pStyle w:val="Heading2"/>
      </w:pPr>
      <w:r>
        <w:t>Chronological product boundary</w:t>
      </w:r>
    </w:p>
    <w:p/>
    <w:p>
      <w:r>
        <w:t>Independent layouts, uncapped acquisition, durable subjects and continuous encoded transport deliver one person-observation product across SAO, Speakeasy and Mousecat. Synthetic encoder fixtures, rendered native evidence and playback quality remain distinct.</w:t>
      </w:r>
    </w:p>
    <w:p/>
    <w:p>
      <w:r>
        <w:t>Establishes a new player-visible capability or authoring/runtime contract. Independent layouts, uncapped acquisition, durable subjects and continuous encoded transport deliver one person-observation product across SAO, Speakeasy and Mousecat. Synthetic encoder fixtures, rendered native evidence and playback quality remain distinct.</w:t>
      </w:r>
    </w:p>
    <w:p/>
    <w:p>
      <w:pPr>
        <w:pStyle w:val="Heading2"/>
      </w:pPr>
      <w:r>
        <w:t>Source contributions and custody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Original contribution</w:t>
            </w:r>
          </w:p>
        </w:tc>
        <w:tc>
          <w:tcPr>
            <w:tcW w:type="dxa" w:w="2880"/>
          </w:tcPr>
          <w:p>
            <w:r>
              <w:t>Exact immutable record</w:t>
            </w:r>
          </w:p>
        </w:tc>
        <w:tc>
          <w:tcPr>
            <w:tcW w:type="dxa" w:w="2880"/>
          </w:tcPr>
          <w:p>
            <w:r>
              <w:t>SHA-256</w:t>
            </w:r>
          </w:p>
        </w:tc>
      </w:tr>
      <w:tr>
        <w:tc>
          <w:tcPr>
            <w:tcW w:type="dxa" w:w="2880"/>
          </w:tcPr>
          <w:p>
            <w:r>
              <w:t>20260919-through-C120:C113 — Independent native observation layouts</w:t>
            </w:r>
          </w:p>
        </w:tc>
        <w:tc>
          <w:tcPr>
            <w:tcW w:type="dxa" w:w="2880"/>
          </w:tcPr>
          <w:p>
            <w:r>
              <w:t>[Source record](../../Batches/history/c-20261003-source/Batches/C113-20261002-0924Z-0224PST-independent-native-observation-layouts.md)</w:t>
            </w:r>
          </w:p>
        </w:tc>
        <w:tc>
          <w:tcPr>
            <w:tcW w:type="dxa" w:w="2880"/>
          </w:tcPr>
          <w:p>
            <w:r>
              <w:t>81e6d67c62ddef352634f5dee87db759ef5d1a4932a658f54f281e71840b4628</w:t>
            </w:r>
          </w:p>
        </w:tc>
      </w:tr>
      <w:tr>
        <w:tc>
          <w:tcPr>
            <w:tcW w:type="dxa" w:w="2880"/>
          </w:tcPr>
          <w:p>
            <w:r>
              <w:t>20260919-through-C120:C114 — Uncapped native observation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record](../../Batches/history/c-20261003-source/Batches/C114-20261002-2244Z-1544PST-uncapped-native-observation.md)</w:t>
            </w:r>
          </w:p>
        </w:tc>
        <w:tc>
          <w:tcPr>
            <w:tcW w:type="dxa" w:w="2880"/>
          </w:tcPr>
          <w:p>
            <w:r>
              <w:t>273e121527809a3746cb4d2dab84c53d2caf3f6b00c0ac3b95f9574e9041e695</w:t>
            </w:r>
          </w:p>
        </w:tc>
      </w:tr>
      <w:tr>
        <w:tc>
          <w:tcPr>
            <w:tcW w:type="dxa" w:w="2880"/>
          </w:tcPr>
          <w:p>
            <w:r>
              <w:t>20260919-through-C120:C115 — Persistent subject observation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record](../../Batches/history/c-20261003-source/Batches/C115-20261003-0308Z-2008PST-persistent-subject-observation.md)</w:t>
            </w:r>
          </w:p>
        </w:tc>
        <w:tc>
          <w:tcPr>
            <w:tcW w:type="dxa" w:w="2880"/>
          </w:tcPr>
          <w:p>
            <w:r>
              <w:t>b19b955128f7c523f75253a361a114c794e4601d7d758d18e3036a005bd3716e</w:t>
            </w:r>
          </w:p>
        </w:tc>
      </w:tr>
      <w:tr>
        <w:tc>
          <w:tcPr>
            <w:tcW w:type="dxa" w:w="2880"/>
          </w:tcPr>
          <w:p>
            <w:r>
              <w:t>20260919-through-C120:C116 — Continuous native observation</w:t>
            </w:r>
          </w:p>
        </w:tc>
        <w:tc>
          <w:tcPr>
            <w:tcW w:type="dxa" w:w="2880"/>
          </w:tcPr>
          <w:p>
            <w:r>
              <w:t>[Source record](../../Batches/history/c-20261003-source/Batches/C116-20261003-0433Z-2133PST-continuous-native-observation.md)</w:t>
            </w:r>
          </w:p>
        </w:tc>
        <w:tc>
          <w:tcPr>
            <w:tcW w:type="dxa" w:w="2880"/>
          </w:tcPr>
          <w:p>
            <w:r>
              <w:t>fb4768bfa1f0badd1e27ced2d4462b12113fbc496e96f35bc854a12d615d1053</w:t>
            </w:r>
          </w:p>
        </w:tc>
      </w:tr>
    </w:tbl>
    <w:p/>
    <w:p>
      <w:r>
        <w:t>Each original contributes once to the product/version chronology. Its many-to-many shared-contract links remain in the unchanged ownership projection, and nonadjacent related work stays later in the chronology.</w:t>
      </w:r>
    </w:p>
    <w:p/>
    <w:p>
      <w:pPr>
        <w:pStyle w:val="Heading2"/>
      </w:pPr>
      <w:r>
        <w:t>Delivered mechanisms and evidence boundaries</w:t>
      </w:r>
    </w:p>
    <w:p/>
    <w:p>
      <w:r>
        <w:t>The following excerpts preserve the source prose; relative navigation is resolved from this product record. The exact original record above owns the full context, mechanisms, controls and corrections.</w:t>
      </w:r>
    </w:p>
    <w:p/>
    <w:p>
      <w:pPr>
        <w:pStyle w:val="Heading3"/>
      </w:pPr>
      <w:r>
        <w:t>20260919-through-C120:C113 — Independent native observation layouts</w:t>
      </w:r>
    </w:p>
    <w:p/>
    <w:p>
      <w:r>
        <w:t>&gt; The runner accepts `--observer-layout`: a bounded</w:t>
      </w:r>
    </w:p>
    <w:p>
      <w:r>
        <w:t>&gt; `sao-study-observer-layout/1` document with one to four distinct native areas.</w:t>
      </w:r>
    </w:p>
    <w:p>
      <w:r>
        <w:t>&gt; The receipt retains the document and canonical SHA-256. Continuation verifies</w:t>
      </w:r>
    </w:p>
    <w:p>
      <w:r>
        <w:t>&gt; the previous run before replacement; omission retains its sealed layout.</w:t>
      </w:r>
    </w:p>
    <w:p>
      <w:r>
        <w:t>&gt; Binary32 coordinate validation matches the installed native observer.</w:t>
      </w:r>
    </w:p>
    <w:p/>
    <w:p>
      <w:r>
        <w:t>&gt; Existing native cameras and residency objects supply simultaneous areas.</w:t>
      </w:r>
    </w:p>
    <w:p>
      <w:r>
        <w:t>&gt; The isolated renderer and observer host own the correction. The world definition, map, seed,</w:t>
      </w:r>
    </w:p>
    <w:p>
      <w:r>
        <w:t>&gt; situation, people and copied gameplay modules retain their identities.</w:t>
      </w:r>
    </w:p>
    <w:p>
      <w:r>
        <w:t>&gt; Verification requires the declared areas and simultaneous native viewport</w:t>
      </w:r>
    </w:p>
    <w:p>
      <w:r>
        <w:t>&gt; descriptors. Speakeasy validates the same seal for viewing; archive</w:t>
      </w:r>
    </w:p>
    <w:p>
      <w:r>
        <w:t>&gt; interpretation retains the original definition. Legacy studies retain their</w:t>
      </w:r>
    </w:p>
    <w:p>
      <w:r>
        <w:t>&gt; definition's sites. Per-area controls remain an explicit compatible-viewer flag.</w:t>
      </w:r>
    </w:p>
    <w:p/>
    <w:p>
      <w:r>
        <w:t>&gt; The motivating two-person study declared one area. Its person cards alternated</w:t>
      </w:r>
    </w:p>
    <w:p>
      <w:r>
        <w:t>&gt; recent captures. Its first continuation recorded 146 native unloads, nine</w:t>
      </w:r>
    </w:p>
    <w:p>
      <w:r>
        <w:t>&gt; movement failures with no current square and four locked-door failures at one</w:t>
      </w:r>
    </w:p>
    <w:p>
      <w:r>
        <w:t>&gt; destination over 6.7486 simulated hours: approximately 21.63, 1.33 and 0.59</w:t>
      </w:r>
    </w:p>
    <w:p>
      <w:r>
        <w:t>&gt; events per simulated hour. These exact log counts are diagnostic observations,</w:t>
      </w:r>
    </w:p>
    <w:p>
      <w:r>
        <w:t>&gt; not controlled competence measurements.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Implemented and measured; normal closing hook owns the complete gate \|</w:t>
      </w:r>
    </w:p>
    <w:p/>
    <w:p>
      <w:r>
        <w:t>**Remaining scope retained from the source:**</w:t>
      </w:r>
    </w:p>
    <w:p/>
    <w:p>
      <w:pPr>
        <w:pStyle w:val="ListBullet"/>
      </w:pPr>
      <w:r>
        <w:t>Two-feed normal checkpoint proves observation infrastructure, not entry competence; abrupt process-death rollback outside proof.</w:t>
      </w:r>
    </w:p>
    <w:p/>
    <w:p>
      <w:pPr>
        <w:pStyle w:val="Heading3"/>
      </w:pPr>
      <w:r>
        <w:t>20260919-through-C120:C114 — Uncapped native observation</w:t>
      </w:r>
    </w:p>
    <w:p/>
    <w:p>
      <w:r>
        <w:t>&gt; The operator requests removal of artificial ceilings, with any selected ceiling</w:t>
      </w:r>
    </w:p>
    <w:p>
      <w:r>
        <w:t>&gt; at least 120 FPS. The old capture admission waited 50 ms for one view and 100 ms</w:t>
      </w:r>
    </w:p>
    <w:p>
      <w:r>
        <w:t>&gt; for multiple views. Capture now admits a ready native frame immediately while</w:t>
      </w:r>
    </w:p>
    <w:p>
      <w:r>
        <w:t>&gt; retaining one outstanding publication. Frame identity, native pixel readback,</w:t>
      </w:r>
    </w:p>
    <w:p>
      <w:r>
        <w:t>&gt; checksums, stale-command refusal and eight-frame retention keep their owners.</w:t>
      </w:r>
    </w:p>
    <w:p/>
    <w:p>
      <w:r>
        <w:t>&gt; New and continued isolated observer caches start with native frameRate 120,</w:t>
      </w:r>
    </w:p>
    <w:p>
      <w:r>
        <w:t>&gt; uncappedFPS false and VSync false. Installed Core.loadOptions resets a persisted</w:t>
      </w:r>
    </w:p>
    <w:p>
      <w:r>
        <w:t>&gt; true uncapped option to false and 60 FPS. After that load, the observer calls the</w:t>
      </w:r>
    </w:p>
    <w:p>
      <w:r>
        <w:t>&gt; same Core.setFramerate(1) entry point used by the native uncapped selection.</w:t>
      </w:r>
    </w:p>
    <w:p>
      <w:r>
        <w:t>&gt; Existing detached observer ownership and debug guards precede the operation.</w:t>
      </w:r>
    </w:p>
    <w:p>
      <w:r>
        <w:t>&gt; Its runtime log reports the effective native flag. Ordinary player ownership</w:t>
      </w:r>
    </w:p>
    <w:p>
      <w:r>
        <w:t>&gt; refuses this observer operation. Prelaunch exceptions restore prior options</w:t>
      </w:r>
    </w:p>
    <w:p>
      <w:r>
        <w:t>&gt; through the existing saved-run transaction.</w:t>
      </w:r>
    </w:p>
    <w:p/>
    <w:p>
      <w:r>
        <w:t>&gt; Border 198 exercises immediate capture admission and the installed runtime</w:t>
      </w:r>
    </w:p>
    <w:p>
      <w:r>
        <w:t>&gt; renderer flag. Restoring the 50 ms timer fails the named readiness assertion;</w:t>
      </w:r>
    </w:p>
    <w:p>
      <w:r>
        <w:t>&gt; restoring the native 60 FPS selection fails the effective flag assertion.</w:t>
      </w:r>
    </w:p>
    <w:p>
      <w:r>
        <w:t>&gt; The busy-publisher control still rejects removal of the one-frame bound.</w:t>
      </w:r>
    </w:p>
    <w:p>
      <w:r>
        <w:t>&gt; Border 233 exercises saved option replacement, duplicate normalization,</w:t>
      </w:r>
    </w:p>
    <w:p>
      <w:r>
        <w:t>&gt; idempotence and preservation of other options. It has thirteen tests.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\| Status \| Implemented; required verification has separate receipts \|</w:t>
      </w:r>
    </w:p>
    <w:p/>
    <w:p>
      <w:r>
        <w:t>**Remaining scope retained from the source:**</w:t>
      </w:r>
    </w:p>
    <w:p/>
    <w:p>
      <w:pPr>
        <w:pStyle w:val="ListBullet"/>
      </w:pPr>
      <w:r>
        <w:t>Presented/captured/native callback rates differ; bounded image rate proves no broad performance or aggression policy.</w:t>
      </w:r>
    </w:p>
    <w:p/>
    <w:p>
      <w:pPr>
        <w:pStyle w:val="Heading3"/>
      </w:pPr>
      <w:r>
        <w:t>20260919-through-C120:C115 — Persistent subject observation</w:t>
      </w:r>
    </w:p>
    <w:p/>
    <w:p>
      <w:r>
        <w:t>&gt; The sealed observer layout accepts an optional `subjectId` per site. It is a</w:t>
      </w:r>
    </w:p>
    <w:p>
      <w:r>
        <w:t>&gt; unique visible-ASCII identity of one to 128 characters. The seal includes it,</w:t>
      </w:r>
    </w:p>
    <w:p>
      <w:r>
        <w:t>&gt; and saved continuation retains it with the existing site. Native slots and</w:t>
      </w:r>
    </w:p>
    <w:p>
      <w:r>
        <w:t>&gt; copied gameplay state keep their established ownership. Malformed site values</w:t>
      </w:r>
    </w:p>
    <w:p>
      <w:r>
        <w:t>&gt; receive the ordinary contract refusal.</w:t>
      </w:r>
    </w:p>
    <w:p/>
    <w:p>
      <w:r>
        <w:t>&gt; Speakeasy R87 assigns each subject camera to that exact person across the</w:t>
      </w:r>
    </w:p>
    <w:p>
      <w:r>
        <w:t>&gt; authored world. Activity ranking and nearby urgency do not replace an assigned</w:t>
      </w:r>
    </w:p>
    <w:p>
      <w:r>
        <w:t>&gt; person. Missing, dead or unavailable subjects clear the pictured claim. Native</w:t>
      </w:r>
    </w:p>
    <w:p>
      <w:r>
        <w:t>&gt; command acknowledgement and captured binary32 pose identity qualify the label.</w:t>
      </w:r>
    </w:p>
    <w:p>
      <w:r>
        <w:t>&gt; Manual browsing affects its own view; zoom preserves automatic ownership, and</w:t>
      </w:r>
    </w:p>
    <w:p>
      <w:r>
        <w:t>&gt; Follow resumes the same assigned person. Current source camera controls carry</w:t>
      </w:r>
    </w:p>
    <w:p>
      <w:r>
        <w:t>&gt; their own clock, separate from a slower image's pictured projection.</w:t>
      </w:r>
    </w:p>
    <w:p/>
    <w:p>
      <w:r>
        <w:t>&gt; Mousecat A23.4 names the subjects, preserves accepted-image facts and offers</w:t>
      </w:r>
    </w:p>
    <w:p>
      <w:r>
        <w:t>&gt; Wide, Square and Frame shapes with Fit or Fill framing. Quiet successful</w:t>
      </w:r>
    </w:p>
    <w:p>
      <w:r>
        <w:t>&gt; captions retain explicit stale, failed, paused, unavailable and ended states.</w:t>
      </w:r>
    </w:p>
    <w:p>
      <w:r>
        <w:t>&gt; Window opens a resizable independent view with source-routed tools.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Real capped/uncapped copies measure declared observation windows; decoder/video geometry needs own proof.</w:t>
      </w:r>
    </w:p>
    <w:p/>
    <w:p>
      <w:pPr>
        <w:pStyle w:val="Heading3"/>
      </w:pPr>
      <w:r>
        <w:t>20260919-through-C120:C116 — Continuous native observation</w:t>
      </w:r>
    </w:p>
    <w:p/>
    <w:p>
      <w:r>
        <w:t>&gt; Isolated observers can supply source-bound H264 initialization and bounded</w:t>
      </w:r>
    </w:p>
    <w:p>
      <w:r>
        <w:t>&gt; fragment receipts alongside the independent PNG path. The native adapter owns</w:t>
      </w:r>
    </w:p>
    <w:p>
      <w:r>
        <w:t>&gt; asynchronous framebuffer readback and one encoder process. Capture admission,</w:t>
      </w:r>
    </w:p>
    <w:p>
      <w:r>
        <w:t>&gt; encoded samples and admitted drops keep separate monotonic counters. Actual</w:t>
      </w:r>
    </w:p>
    <w:p>
      <w:r>
        <w:t>&gt; native frame sequences, capture intervals and world-hour ranges remain source</w:t>
      </w:r>
    </w:p>
    <w:p>
      <w:r>
        <w:t>&gt; facts; configured capture ceiling and observer callbacks establish no achieved</w:t>
      </w:r>
    </w:p>
    <w:p>
      <w:r>
        <w:t>&gt; render or playback FPS. Native renderer uncapped selection remains enabled.</w:t>
      </w:r>
    </w:p>
    <w:p/>
    <w:p>
      <w:r>
        <w:t>&gt; Two observer slots use a 2560 by 720 composite with two 1280 by 720 views.</w:t>
      </w:r>
    </w:p>
    <w:p>
      <w:r>
        <w:t>&gt; Single-view dimensions remain 960 by 540; three/four slots use 1920 by 1080.</w:t>
      </w:r>
    </w:p>
    <w:p>
      <w:r>
        <w:t>&gt; Startup options, resumed cache and command-line dimensions share this owner.</w:t>
      </w:r>
    </w:p>
    <w:p>
      <w:r>
        <w:t>&gt; Native terrain alpha retains the engine's wall/roof fading and canopy cutaway.</w:t>
      </w:r>
    </w:p>
    <w:p>
      <w:r>
        <w:t>&gt; The observer preserves its existing separation from NPC/gameplay ownership.</w:t>
      </w:r>
    </w:p>
    <w:p/>
    <w:p>
      <w:r>
        <w:t>&gt; Each encoded fragment qualifies crop geometry only when every sampled frame</w:t>
      </w:r>
    </w:p>
    <w:p>
      <w:r>
        <w:t>&gt; agrees on camera identity, slot and rectangle. Pose and command epochs qualify</w:t>
      </w:r>
    </w:p>
    <w:p>
      <w:r>
        <w:t>&gt; separately across every frame. Moving cameras can retain valid pixel geometry</w:t>
      </w:r>
    </w:p>
    <w:p>
      <w:r>
        <w:t>&gt; while withholding pose. Geometry-only receipts contain exactly six fields and</w:t>
      </w:r>
    </w:p>
    <w:p>
      <w:r>
        <w:t>&gt; grant no pictured person, zoom, private state or command acknowledgement.</w:t>
      </w:r>
    </w:p>
    <w:p>
      <w:r>
        <w:t>&gt; Forced IDR frames make media-time fragment boundaries independently decodable</w:t>
      </w:r>
    </w:p>
    <w:p>
      <w:r>
        <w:t>&gt; even when native frame production stays below the selected capture ceiling.</w:t>
      </w:r>
    </w:p>
    <w:p>
      <w:r>
        <w:t>&gt; Each forced boundary uses the previous actual forced-keyframe time. A real</w:t>
      </w:r>
    </w:p>
    <w:p>
      <w:r>
        <w:t>&gt; source pause retains its interval without triggering per-frame keyframe catch-up</w:t>
      </w:r>
    </w:p>
    <w:p>
      <w:r>
        <w:t>&gt; that collapses the consumer's retained fragment window.</w:t>
      </w:r>
    </w:p>
    <w:p/>
    <w:p>
      <w:r>
        <w:t>**Implementation:** implemented scope recorded; corrections retained</w:t>
      </w:r>
    </w:p>
    <w:p/>
    <w:p>
      <w:r>
        <w:t>**Verification:** source-scoped evidence and limits retained in archived record</w:t>
      </w:r>
    </w:p>
    <w:p/>
    <w:p>
      <w:r>
        <w:t>**Publication:** committed-at-source-head</w:t>
      </w:r>
    </w:p>
    <w:p/>
    <w:p>
      <w:r>
        <w:t>**Original standing:** Retain source narrative closure and evidence.</w:t>
      </w:r>
    </w:p>
    <w:p/>
    <w:p>
      <w:r>
        <w:t>**Remaining scope retained from the source:**</w:t>
      </w:r>
    </w:p>
    <w:p/>
    <w:p>
      <w:pPr>
        <w:pStyle w:val="ListBullet"/>
      </w:pPr>
      <w:r>
        <w:t>37.7333 presentations/s is not native render/simulation throughput; GZDS follow-up closed in C117.</w:t>
      </w:r>
    </w:p>
    <w:p/>
    <w:p>
      <w:pPr>
        <w:pStyle w:val="Heading2"/>
      </w:pPr>
      <w:r>
        <w:t>Historical interpretation</w:t>
      </w:r>
    </w:p>
    <w:p/>
    <w:p>
      <w:r>
        <w:t>This record consolidates development substance and its supporting integration, verification and publication. It supplies no new runtime, native-trial, learned-policy, visual-acceptance or release-maturity credit. Historical failures, incomplete work, source corrections and later D-era outcomes retain their dated generation-qualified records.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