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C111 - Native feeding and carried coolers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Record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2026-10-01 23:55 UTC / 16:55 PST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Existing native animal care, shared carried-inventory physics and private completion experience</w:t>
            </w:r>
          </w:p>
        </w:tc>
      </w:tr>
      <w:tr>
        <w:tc>
          <w:tcPr>
            <w:tcW w:type="dxa" w:w="4320"/>
          </w:tcPr>
          <w:p>
            <w:r>
              <w:t>Public parent</w:t>
            </w:r>
          </w:p>
        </w:tc>
        <w:tc>
          <w:tcPr>
            <w:tcW w:type="dxa" w:w="4320"/>
          </w:tcPr>
          <w:p>
            <w:r>
              <w:t>`89c53655d7caee5374abf641ee7f4ee3d1c9dd35` (C110)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DR-053; whole installed collection and later sources remain integration candidates</w:t>
            </w:r>
          </w:p>
        </w:tc>
      </w:tr>
    </w:tbl>
    <w:p/>
    <w:p>
      <w:r>
        <w:t>Existing animal-care selection queues the installed hand-feeding action with</w:t>
      </w:r>
    </w:p>
    <w:p>
      <w:r>
        <w:t>current Standing and exact body, animal and carried item. The Java observer</w:t>
      </w:r>
    </w:p>
    <w:p>
      <w:r>
        <w:t>requires native consumption and improved hunger before publishing a completed</w:t>
      </w:r>
    </w:p>
    <w:p>
      <w:r>
        <w:t>private result. A bounded durable outbox retries until cognition acknowledges;</w:t>
      </w:r>
    </w:p>
    <w:p>
      <w:r>
        <w:t>both cognitive models receive performed care once without internal hunger,</w:t>
      </w:r>
    </w:p>
    <w:p>
      <w:r>
        <w:t>future health claims or duplicate native XP. Disabled learning and a saturated</w:t>
      </w:r>
    </w:p>
    <w:p>
      <w:r>
        <w:t>observer do not prevent physical care.</w:t>
      </w:r>
    </w:p>
    <w:p/>
    <w:p>
      <w:r>
        <w:t>Native feeding retains the registered foreign owner on a body already handed</w:t>
      </w:r>
    </w:p>
    <w:p>
      <w:r>
        <w:t>to ZAO. SAO captures no foreign learning. Originally admitted ordinary work</w:t>
      </w:r>
    </w:p>
    <w:p>
      <w:r>
        <w:t>still cancels after owner transfer, including transfer before native start.</w:t>
      </w:r>
    </w:p>
    <w:p>
      <w:r>
        <w:t>Cancellation restores the original actor and targets before native cleanup.</w:t>
      </w:r>
    </w:p>
    <w:p>
      <w:r>
        <w:t>Exact current-world membership excludes retained foreign handles.</w:t>
      </w:r>
    </w:p>
    <w:p/>
    <w:p>
      <w:r>
        <w:t>The optional shared cooler adapter invokes installed physics for authenticated</w:t>
      </w:r>
    </w:p>
    <w:p>
      <w:r>
        <w:t>off-slot loaded inventories and final unload checkpoints. The existing native</w:t>
      </w:r>
    </w:p>
    <w:p>
      <w:r>
        <w:t>inventory codec remains the capture owner. Every fresh Body capture calls the</w:t>
      </w:r>
    </w:p>
    <w:p>
      <w:r>
        <w:t>adapter first: active save, foreign save, transfer preparation, release and</w:t>
      </w:r>
    </w:p>
    <w:p>
      <w:r>
        <w:t>external hibernation. Snapshot encoding remains pure. A midpass source failure</w:t>
      </w:r>
    </w:p>
    <w:p>
      <w:r>
        <w:t>records a durable unresolved interval; clock-only retry, later progress, reset</w:t>
      </w:r>
    </w:p>
    <w:p>
      <w:r>
        <w:t>and record reload cannot certify that failed interval. Refusal retains the</w:t>
      </w:r>
    </w:p>
    <w:p>
      <w:r>
        <w:t>body, owner and previous snapshot; exact detach drops runtime references.</w:t>
      </w:r>
    </w:p>
    <w:p>
      <w:r>
        <w:t>The actual death funnel also drops living cooler handles and log scratch</w:t>
      </w:r>
    </w:p>
    <w:p>
      <w:r>
        <w:t>while native possessions and the durable unresolved interval remain.</w:t>
      </w:r>
    </w:p>
    <w:p/>
    <w:p>
      <w:r>
        <w:t>Whole-collection discovery resolves 312 roots across 235 Workshop packages,</w:t>
      </w:r>
    </w:p>
    <w:p>
      <w:r>
        <w:t>including 286 uncatalogued roots. Numeric payload selection preserves unnamed,</w:t>
      </w:r>
    </w:p>
    <w:p>
      <w:r>
        <w:t>incompatible and conflicting candidates. The original 27-entry study catalogue</w:t>
      </w:r>
    </w:p>
    <w:p>
      <w:r>
        <w:t>and historical profiles remain unchanged. The dated integration scope records</w:t>
      </w:r>
    </w:p>
    <w:p>
      <w:r>
        <w:t>curated traits, clinical and growth gaps, weapons and rarity, windows, exercise,</w:t>
      </w:r>
    </w:p>
    <w:p>
      <w:r>
        <w:t>utilities, preservation, mobility, posture and every other discovered concern.</w:t>
      </w:r>
    </w:p>
    <w:p>
      <w:r>
        <w:t>Source review and metadata compatibility grant no activation or completion.</w:t>
      </w:r>
    </w:p>
    <w:p/>
    <w:p>
      <w:pPr>
        <w:pStyle w:val="Heading2"/>
      </w:pPr>
      <w:r>
        <w:t>Verification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Instrument</w:t>
            </w:r>
          </w:p>
        </w:tc>
        <w:tc>
          <w:tcPr>
            <w:tcW w:type="dxa" w:w="4320"/>
          </w:tcPr>
          <w:p>
            <w:r>
              <w:t>Executed boundary</w:t>
            </w:r>
          </w:p>
        </w:tc>
      </w:tr>
      <w:tr>
        <w:tc>
          <w:tcPr>
            <w:tcW w:type="dxa" w:w="4320"/>
          </w:tcPr>
          <w:p>
            <w:r>
              <w:t>Border 229</w:t>
            </w:r>
          </w:p>
        </w:tc>
        <w:tc>
          <w:tcPr>
            <w:tcW w:type="dxa" w:w="4320"/>
          </w:tcPr>
          <w:p>
            <w:r>
              <w:t>Native bodies, animals and feeds plus installed callback and actor-ownership controls; optional sources absent are explicit SKIPPED and required local verification refuses them</w:t>
            </w:r>
          </w:p>
        </w:tc>
      </w:tr>
      <w:tr>
        <w:tc>
          <w:tcPr>
            <w:tcW w:type="dxa" w:w="4320"/>
          </w:tcPr>
          <w:p>
            <w:r>
              <w:t>Border 230</w:t>
            </w:r>
          </w:p>
        </w:tc>
        <w:tc>
          <w:tcPr>
            <w:tcW w:type="dxa" w:w="4320"/>
          </w:tcPr>
          <w:p>
            <w:r>
              <w:t>68 checks: 43 installed physical, 17 actual Body callers and eight actual Identity death callers; 15 executing defect controls; all five production capture paths plus native snapshot/wake</w:t>
            </w:r>
          </w:p>
        </w:tc>
      </w:tr>
      <w:tr>
        <w:tc>
          <w:tcPr>
            <w:tcW w:type="dxa" w:w="4320"/>
          </w:tcPr>
          <w:p>
            <w:r>
              <w:t>Border 231</w:t>
            </w:r>
          </w:p>
        </w:tc>
        <w:tc>
          <w:tcPr>
            <w:tcW w:type="dxa" w:w="4320"/>
          </w:tcPr>
          <w:p>
            <w:r>
              <w:t>Seven actual discovery-function cases and two production-source controls; unnamed roots, numeric versions, metadata fallback, incompatibility and duplicate IDs</w:t>
            </w:r>
          </w:p>
        </w:tc>
      </w:tr>
      <w:tr>
        <w:tc>
          <w:tcPr>
            <w:tcW w:type="dxa" w:w="4320"/>
          </w:tcPr>
          <w:p>
            <w:r>
              <w:t>Proof preflight</w:t>
            </w:r>
          </w:p>
        </w:tc>
        <w:tc>
          <w:tcPr>
            <w:tcW w:type="dxa" w:w="4320"/>
          </w:tcPr>
          <w:p>
            <w:r>
              <w:t>Both native runners distinguish mandatory owned files from optional installed sources; three CLI classification cases, missing-helper bootstrap and an executing owned-guard omission control each</w:t>
            </w:r>
          </w:p>
        </w:tc>
      </w:tr>
      <w:tr>
        <w:tc>
          <w:tcPr>
            <w:tcW w:type="dxa" w:w="4320"/>
          </w:tcPr>
          <w:p>
            <w:r>
              <w:t>Extended capability experience</w:t>
            </w:r>
          </w:p>
        </w:tc>
        <w:tc>
          <w:tcPr>
            <w:tcW w:type="dxa" w:w="4320"/>
          </w:tcPr>
          <w:p>
            <w:r>
              <w:t>29 model, 49 ledger and 1,012 extended assertions; three baselines and 83 executing controls; first-acquisition and private replay retained</w:t>
            </w:r>
          </w:p>
        </w:tc>
      </w:tr>
      <w:tr>
        <w:tc>
          <w:tcPr>
            <w:tcW w:type="dxa" w:w="4320"/>
          </w:tcPr>
          <w:p>
            <w:r>
              <w:t>Independent review</w:t>
            </w:r>
          </w:p>
        </w:tc>
        <w:tc>
          <w:tcPr>
            <w:tcW w:type="dxa" w:w="4320"/>
          </w:tcPr>
          <w:p>
            <w:r>
              <w:t>Original cleanup, foreign execution, partial cooler retry and caller-proof defects are repaired; final bounded retakes have retained source pins and receipts</w:t>
            </w:r>
          </w:p>
        </w:tc>
      </w:tr>
      <w:tr>
        <w:tc>
          <w:tcPr>
            <w:tcW w:type="dxa" w:w="4320"/>
          </w:tcPr>
          <w:p>
            <w:r>
              <w:t>Build and full gate</w:t>
            </w:r>
          </w:p>
        </w:tc>
        <w:tc>
          <w:tcPr>
            <w:tcW w:type="dxa" w:w="4320"/>
          </w:tcPr>
          <w:p>
            <w:r>
              <w:t>Version-stamped Java build and complete normal gate have separate closing receipts; the normal pre-commit hook runs every border</w:t>
            </w:r>
          </w:p>
        </w:tc>
      </w:tr>
    </w:tbl>
    <w:p/>
    <w:p>
      <w:r>
        <w:t>Tests execute installed Kahlua, native bodies, items, animals, aging and strict</w:t>
      </w:r>
    </w:p>
    <w:p>
      <w:r>
        <w:t>person codecs. Surrounding admission, animation, population, event dispatch and</w:t>
      </w:r>
    </w:p>
    <w:p>
      <w:r>
        <w:t>teardown routing, death admission and registry replacement are controlled. The first manual gate was stopped after namespace, cache-owner and actual</w:t>
      </w:r>
    </w:p>
    <w:p>
      <w:r>
        <w:t>printed-label findings. Those defects are repaired; its interrupted native</w:t>
      </w:r>
    </w:p>
    <w:p>
      <w:r>
        <w:t>study subprocess is recorded as an interruption rather than a source verdict.</w:t>
      </w:r>
    </w:p>
    <w:p>
      <w:r>
        <w:t>The first complete normal commit-hook gate refused only the missing loaded-only</w:t>
      </w:r>
    </w:p>
    <w:p>
      <w:r>
        <w:t>declaration for ModMechanics. The shared county-sweep declaration now keeps the</w:t>
      </w:r>
    </w:p>
    <w:p>
      <w:r>
        <w:t>native inventory adapter outside bodyless simulation, and an executing omission</w:t>
      </w:r>
    </w:p>
    <w:p>
      <w:r>
        <w:t>control refuses the undeclared module. The failed hook log and exit remain</w:t>
      </w:r>
    </w:p>
    <w:p>
      <w:r>
        <w:t>retained. The succeeding complete normal hook owns the closing verdict.</w:t>
      </w:r>
    </w:p>
    <w:p/>
    <w:p>
      <w:r>
        <w:t>The named controls restore production defects</w:t>
      </w:r>
    </w:p>
    <w:p>
      <w:r>
        <w:t>and must fail for their stated reason. Earlier failed probes remain retained.</w:t>
      </w:r>
    </w:p>
    <w:p/>
    <w:p>
      <w:pPr>
        <w:pStyle w:val="Heading2"/>
      </w:pPr>
      <w:r>
        <w:t>Continuing work</w:t>
      </w:r>
    </w:p>
    <w:p/>
    <w:p>
      <w:r>
        <w:t>Feed crafting, acquisition and autonomous loaded prevalence remain open.</w:t>
      </w:r>
    </w:p>
    <w:p>
      <w:r>
        <w:t>Nonfeeding care has current target admission but lacks the full native</w:t>
      </w:r>
    </w:p>
    <w:p>
      <w:r>
        <w:t>completion/private-result proof. Cooler-aware dormant meal selection runs</w:t>
      </w:r>
    </w:p>
    <w:p>
      <w:r>
        <w:t>before the Lua wake reconciliation and needs its own join; multiplayer NPC</w:t>
      </w:r>
    </w:p>
    <w:p>
      <w:r>
        <w:t>inventory authority and recovery from a partial cooler pass remain open.</w:t>
      </w:r>
    </w:p>
    <w:p/>
    <w:p>
      <w:r>
        <w:t>The private MIT Vitality candidate is frozen separately and not shipped or</w:t>
      </w:r>
    </w:p>
    <w:p>
      <w:r>
        <w:t>enabled. Single clinical ownership, curated trait effects and migration,</w:t>
      </w:r>
    </w:p>
    <w:p>
      <w:r>
        <w:t>chronological human growth and genuine infant/child proportions remain open.</w:t>
      </w:r>
    </w:p>
    <w:p>
      <w:r>
        <w:t>Repairable Windows and FWO have measured native compatibility defects and</w:t>
      </w:r>
    </w:p>
    <w:p>
      <w:r>
        <w:t>their own implementation joins; their unestablished source grants are not</w:t>
      </w:r>
    </w:p>
    <w:p>
      <w:r>
        <w:t>replaced by metadata compatibility.</w:t>
      </w:r>
    </w:p>
    <w:p/>
    <w:p>
      <w:r>
        <w:t>The original R84 loaded model trial, evaluation files and saves are protected.</w:t>
      </w:r>
    </w:p>
    <w:p>
      <w:r>
        <w:t>This batch starts no game, deployment or unattended study and admits no</w:t>
      </w:r>
    </w:p>
    <w:p>
      <w:r>
        <w:t>training data. Mechanical evidence does not settle loaded behavior or play.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