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Scope</w:t>
      </w:r>
    </w:p>
    <w:p/>
    <w:p>
      <w:r>
        <w:t>Batch identifier:</w:t>
      </w:r>
    </w:p>
    <w:p/>
    <w:p>
      <w:r>
        <w:t>Runtime behavior changed: yes / no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[ ] Relevant checks pass; reused evidence and its applicability are recorded.</w:t>
      </w:r>
    </w:p>
    <w:p>
      <w:pPr>
        <w:pStyle w:val="ListBullet"/>
      </w:pPr>
      <w:r>
        <w:t>[ ] New or changed borders, when needed, are wired into `tools/check.sh`.</w:t>
      </w:r>
    </w:p>
    <w:p>
      <w:pPr>
        <w:pStyle w:val="ListBullet"/>
      </w:pPr>
      <w:r>
        <w:t>[ ] New or changed instruments have executing controls that reject the</w:t>
      </w:r>
    </w:p>
    <w:p>
      <w:r>
        <w:t xml:space="preserve">      motivating defect for its stated reason; applicable existing controls</w:t>
      </w:r>
    </w:p>
    <w:p>
      <w:r>
        <w:t xml:space="preserve">      retain their provenance.</w:t>
      </w:r>
    </w:p>
    <w:p>
      <w:pPr>
        <w:pStyle w:val="ListBullet"/>
      </w:pPr>
      <w:r>
        <w:t>[ ] A batch record exists under `Batches/` and a row was appended to</w:t>
      </w:r>
    </w:p>
    <w:p>
      <w:r>
        <w:t xml:space="preserve">      `BATCH_LOG.md`.</w:t>
      </w:r>
    </w:p>
    <w:p>
      <w:pPr>
        <w:pStyle w:val="ListBullet"/>
      </w:pPr>
      <w:r>
        <w:t>[ ] Any engine behavior asserted here has a file and line behind it, or</w:t>
      </w:r>
    </w:p>
    <w:p>
      <w:r>
        <w:t xml:space="preserve">      is labelled a hypothesis.</w:t>
      </w:r>
    </w:p>
    <w:p/>
    <w:p>
      <w:pPr>
        <w:pStyle w:val="Heading2"/>
      </w:pPr>
      <w:r>
        <w:t>Validation scope and evidence</w:t>
      </w:r>
    </w:p>
    <w:p/>
    <w:p>
      <w:r>
        <w:t>State which inputs changed, which behaviors or contracts they affect, what</w:t>
      </w:r>
    </w:p>
    <w:p>
      <w:r>
        <w:t>ran and its result, which evidence was reused and why it remains applicable,</w:t>
      </w:r>
    </w:p>
    <w:p>
      <w:r>
        <w:t>why any broader run was necessary, and what remains unverified. Identify</w:t>
      </w:r>
    </w:p>
    <w:p>
      <w:r>
        <w:t>required external checks that add work. Each proposed check or review resolves</w:t>
      </w:r>
    </w:p>
    <w:p>
      <w:r>
        <w:t>a relevant uncertainty in the larger objective and builds on previous work.</w:t>
      </w:r>
    </w:p>
    <w:p>
      <w:r>
        <w:t>Commit and publication events alone</w:t>
      </w:r>
    </w:p>
    <w:p>
      <w:r>
        <w:t>do not require a repeat of valid evidence.</w:t>
      </w:r>
    </w:p>
    <w:p/>
    <w:p>
      <w:pPr>
        <w:pStyle w:val="Heading2"/>
      </w:pPr>
      <w:r>
        <w:t>What was measured before it was designed</w:t>
      </w:r>
    </w:p>
    <w:p/>
    <w:p>
      <w:r>
        <w:t>State how the code actually expresses the thing, before the pattern that</w:t>
      </w:r>
    </w:p>
    <w:p>
      <w:r>
        <w:t>matches it was written. A rule derived from one example is an example.</w:t>
      </w:r>
    </w:p>
    <w:p/>
    <w:p>
      <w:pPr>
        <w:pStyle w:val="Heading2"/>
      </w:pPr>
      <w:r>
        <w:t>Operator boundary</w:t>
      </w:r>
    </w:p>
    <w:p/>
    <w:p>
      <w:r>
        <w:t>Describe the play evidence that remains outstanding. Mechanical closure and</w:t>
      </w:r>
    </w:p>
    <w:p>
      <w:r>
        <w:t>play acceptance are distinct. Borders establish only the behavior their</w:t>
      </w:r>
    </w:p>
    <w:p>
      <w:r>
        <w:t>instruments can observe; they do not settle how the game feels. Follow the</w:t>
      </w:r>
    </w:p>
    <w:p>
      <w:r>
        <w:t>ratified readiness sequence without introducing a play-session prerequisite.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