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C116 - Continuous native observation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2026-10-03 04:33 UTC / 21:33 PST</w:t>
            </w:r>
          </w:p>
        </w:tc>
      </w:tr>
      <w:tr>
        <w:tc>
          <w:tcPr>
            <w:tcW w:type="dxa" w:w="4320"/>
          </w:tcPr>
          <w:p>
            <w:r>
              <w:t>Thread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</w:tbl>
    <w:p/>
    <w:p>
      <w:pPr>
        <w:pStyle w:val="Heading1"/>
      </w:pPr>
      <w:r>
        <w:t>Continuous native observation</w:t>
      </w:r>
    </w:p>
    <w:p/>
    <w:p>
      <w:r>
        <w:t>Isolated observers can supply source-bound H264 initialization and bounded</w:t>
      </w:r>
    </w:p>
    <w:p>
      <w:r>
        <w:t>fragment receipts alongside the independent PNG path. The native adapter owns</w:t>
      </w:r>
    </w:p>
    <w:p>
      <w:r>
        <w:t>asynchronous framebuffer readback and one encoder process. Capture admission,</w:t>
      </w:r>
    </w:p>
    <w:p>
      <w:r>
        <w:t>encoded samples and admitted drops keep separate monotonic counters. Actual</w:t>
      </w:r>
    </w:p>
    <w:p>
      <w:r>
        <w:t>native frame sequences, capture intervals and world-hour ranges remain source</w:t>
      </w:r>
    </w:p>
    <w:p>
      <w:r>
        <w:t>facts; configured capture ceiling and observer callbacks establish no achieved</w:t>
      </w:r>
    </w:p>
    <w:p>
      <w:r>
        <w:t>render or playback FPS. Native renderer uncapped selection remains enabled.</w:t>
      </w:r>
    </w:p>
    <w:p/>
    <w:p>
      <w:r>
        <w:t>Two observer slots use a 2560 by 720 composite with two 1280 by 720 views.</w:t>
      </w:r>
    </w:p>
    <w:p>
      <w:r>
        <w:t>Single-view dimensions remain 960 by 540; three/four slots use 1920 by 1080.</w:t>
      </w:r>
    </w:p>
    <w:p>
      <w:r>
        <w:t>Startup options, resumed cache and command-line dimensions share this owner.</w:t>
      </w:r>
    </w:p>
    <w:p>
      <w:r>
        <w:t>Native terrain alpha retains the engine's wall/roof fading and canopy cutaway.</w:t>
      </w:r>
    </w:p>
    <w:p>
      <w:r>
        <w:t>The observer preserves its existing separation from NPC/gameplay ownership.</w:t>
      </w:r>
    </w:p>
    <w:p/>
    <w:p>
      <w:r>
        <w:t>Each encoded fragment qualifies crop geometry only when every sampled frame</w:t>
      </w:r>
    </w:p>
    <w:p>
      <w:r>
        <w:t>agrees on camera identity, slot and rectangle. Pose and command epochs qualify</w:t>
      </w:r>
    </w:p>
    <w:p>
      <w:r>
        <w:t>separately across every frame. Moving cameras can retain valid pixel geometry</w:t>
      </w:r>
    </w:p>
    <w:p>
      <w:r>
        <w:t>while withholding pose. Geometry-only receipts contain exactly six fields and</w:t>
      </w:r>
    </w:p>
    <w:p>
      <w:r>
        <w:t>grant no pictured person, zoom, private state or command acknowledgement.</w:t>
      </w:r>
    </w:p>
    <w:p>
      <w:r>
        <w:t>Forced IDR frames make media-time fragment boundaries independently decodable</w:t>
      </w:r>
    </w:p>
    <w:p>
      <w:r>
        <w:t>even when native frame production stays below the selected capture ceiling.</w:t>
      </w:r>
    </w:p>
    <w:p>
      <w:r>
        <w:t>Each forced boundary uses the previous actual forced-keyframe time. A real</w:t>
      </w:r>
    </w:p>
    <w:p>
      <w:r>
        <w:t>source pause retains its interval without triggering per-frame keyframe catch-up</w:t>
      </w:r>
    </w:p>
    <w:p>
      <w:r>
        <w:t>that collapses the consumer's retained fragment window.</w:t>
      </w:r>
    </w:p>
    <w:p/>
    <w:p>
      <w:r>
        <w:t>Speakeasy R88/R89 validate and relay bytes under the retained source binding.</w:t>
      </w:r>
    </w:p>
    <w:p>
      <w:r>
        <w:t>Mousecat's shared decoder paints the same decoded frame into independent subject</w:t>
      </w:r>
    </w:p>
    <w:p>
      <w:r>
        <w:t>surfaces and adopted Windows. Source facts and selected-action/result receipts</w:t>
      </w:r>
    </w:p>
    <w:p>
      <w:r>
        <w:t>govern the ancillary observation map. Unknowns, predictions and private claims</w:t>
      </w:r>
    </w:p>
    <w:p>
      <w:r>
        <w:t>retain their attribution. Window defaults to complete native-frame Fit with</w:t>
      </w:r>
    </w:p>
    <w:p>
      <w:r>
        <w:t>progressively disclosed tools. Compact arrows, wheel, drag and Fit browse captured pixels</w:t>
      </w:r>
    </w:p>
    <w:p>
      <w:r>
        <w:t>after ended or disconnected sources; they issue no expired native command.</w:t>
      </w:r>
    </w:p>
    <w:p/>
    <w:p>
      <w:pPr>
        <w:pStyle w:val="Heading2"/>
      </w:pPr>
      <w:r>
        <w:t>Verification</w:t>
      </w:r>
    </w:p>
    <w:p/>
    <w:p>
      <w:r>
        <w:t>Twenty-eight focused producer cases pass in 97.154 seconds, including nineteen</w:t>
      </w:r>
    </w:p>
    <w:p>
      <w:r>
        <w:t>producer/runner controls: seventeen compiled Java controls and two Python controls.</w:t>
      </w:r>
    </w:p>
    <w:p>
      <w:r>
        <w:t>The actual native factory defaults to a 120 ceiling. Its NVENC fixture submits 36 distinct</w:t>
      </w:r>
    </w:p>
    <w:p>
      <w:r>
        <w:t>frames every 75 ms at a 120 ceiling; retained complete fragments measure</w:t>
      </w:r>
    </w:p>
    <w:p>
      <w:r>
        <w:t>300-309 ms with a 233 ms tail. Both crop receipts survive camera movement while</w:t>
      </w:r>
    </w:p>
    <w:p>
      <w:r>
        <w:t>pose is withheld. Python/JavaScript byte validation and independent decode pass.</w:t>
      </w:r>
    </w:p>
    <w:p>
      <w:r>
        <w:t>Removing forced IDR reproduces a 2233 ms fragment and the expected latency</w:t>
      </w:r>
    </w:p>
    <w:p>
      <w:r>
        <w:t>failure. The raw-stream fixture records 180 admitted captures, 167 encoded and</w:t>
      </w:r>
    </w:p>
    <w:p>
      <w:r>
        <w:t>13 dropped, with eight independently decodable fragments and a deliberate</w:t>
      </w:r>
    </w:p>
    <w:p>
      <w:r>
        <w:t>650 ms timestamp gap preserved. Fixture pixels are synthetic.</w:t>
      </w:r>
    </w:p>
    <w:p/>
    <w:p>
      <w:r>
        <w:t>The delayed NVENC replay preserves a deliberate 2.2-second source gap. Corrected</w:t>
      </w:r>
    </w:p>
    <w:p>
      <w:r>
        <w:t>boundaries retain at least 2141 ms across the eight-fragment window and produce</w:t>
      </w:r>
    </w:p>
    <w:p>
      <w:r>
        <w:t>no consecutive one-sample fragments. Restoring the prior absolute schedule</w:t>
      </w:r>
    </w:p>
    <w:p>
      <w:r>
        <w:t>shrinks the window to 383 ms and produces ten consecutive one-sample fragments,</w:t>
      </w:r>
    </w:p>
    <w:p>
      <w:r>
        <w:t>failing the executing regression assertion. Both runs admit 100 captures,</w:t>
      </w:r>
    </w:p>
    <w:p>
      <w:r>
        <w:t>encode 99 and drop one. Every archived fragment independently decodes and passes</w:t>
      </w:r>
    </w:p>
    <w:p>
      <w:r>
        <w:t>the Python/JavaScript byte validators against its actual advertising manifest.</w:t>
      </w:r>
    </w:p>
    <w:p/>
    <w:p>
      <w:r>
        <w:t>Eight renderer cases and four executing controls cover one/two/three/four-slot</w:t>
      </w:r>
    </w:p>
    <w:p>
      <w:r>
        <w:t>dimensions and resumed/startup consistency. Installed native visibility probes</w:t>
      </w:r>
    </w:p>
    <w:p>
      <w:r>
        <w:t>cover six cases and ten controls; PNG capture has eleven controls. Session</w:t>
      </w:r>
    </w:p>
    <w:p>
      <w:r>
        <w:t>forwarding retains initial/resume encoder and capture-ceiling settings. Both</w:t>
      </w:r>
    </w:p>
    <w:p>
      <w:r>
        <w:t>launch CLIs, forwarding fallbacks and native initialization default to 120.</w:t>
      </w:r>
    </w:p>
    <w:p>
      <w:r>
        <w:t>Five old-60 controls fail the runner API/CLI, session forwarding/CLI and native</w:t>
      </w:r>
    </w:p>
    <w:p>
      <w:r>
        <w:t>factory default acceptance; two session controls accompany the producer suite.</w:t>
      </w:r>
    </w:p>
    <w:p>
      <w:r>
        <w:t>Borders 234 and 235 run sequentially and accumulate failures independently.</w:t>
      </w:r>
    </w:p>
    <w:p>
      <w:r>
        <w:t>The normal complete pre-commit gate owns final closure.</w:t>
      </w:r>
    </w:p>
    <w:p/>
    <w:p>
      <w:pPr>
        <w:pStyle w:val="Heading2"/>
      </w:pPr>
      <w:r>
        <w:t>Loaded observation</w:t>
      </w:r>
    </w:p>
    <w:p/>
    <w:p>
      <w:r>
        <w:t>Diagnostic attempt 8 produced actual native media but withheld every pose and</w:t>
      </w:r>
    </w:p>
    <w:p>
      <w:r>
        <w:t>therefore exposed missing first-fragment crop geometry. It saved normally with</w:t>
      </w:r>
    </w:p>
    <w:p>
      <w:r>
        <w:t>exit zero, no reported runtime errors and engine hours 49.8312873840332 to</w:t>
      </w:r>
    </w:p>
    <w:p>
      <w:r>
        <w:t>51.08269500732422. It establishes the diagnosed defect, not viewer acceptance.</w:t>
      </w:r>
    </w:p>
    <w:p>
      <w:r>
        <w:t>The repaired attempt 10 uses the source-matched native adapter and logs the</w:t>
      </w:r>
    </w:p>
    <w:p>
      <w:r>
        <w:t>NVIDIA GeForce RTX 4090 Laptop GPU renderer with VSync off. Its installed viewer</w:t>
      </w:r>
    </w:p>
    <w:p>
      <w:r>
        <w:t>uses one decoder and paints 1132 common decoded frames into both subject</w:t>
      </w:r>
    </w:p>
    <w:p>
      <w:r>
        <w:t>surfaces, including the adopted Window, during a 30-second sample: 37.7333</w:t>
      </w:r>
    </w:p>
    <w:p>
      <w:r>
        <w:t>presentations/s. The sample contains no decoder resets or media error. These</w:t>
      </w:r>
    </w:p>
    <w:p>
      <w:r>
        <w:t>are common decoded presentations, not native rendering FPS; cumulative browser</w:t>
      </w:r>
    </w:p>
    <w:p>
      <w:r>
        <w:t>quality counters retain dropped presentations separately.</w:t>
      </w:r>
    </w:p>
    <w:p/>
    <w:p>
      <w:r>
        <w:t>The actual native Window uses a 626 by 390 CSS-pixel client area at device scale</w:t>
      </w:r>
    </w:p>
    <w:p>
      <w:r>
        <w:t>1.5 and fits a 626 by 352.125 native-ratio picture. Tools starts collapsed over</w:t>
      </w:r>
    </w:p>
    <w:p>
      <w:r>
        <w:t>the same view. Navigation, playback, settings and details disclose without</w:t>
      </w:r>
    </w:p>
    <w:p>
      <w:r>
        <w:t>changing image bounds or adding an outside panel. The native titlebar names the</w:t>
      </w:r>
    </w:p>
    <w:p>
      <w:r>
        <w:t>subject. The real WinForms/WebView2 host independently checks pointer hit,</w:t>
      </w:r>
    </w:p>
    <w:p>
      <w:r>
        <w:t>disclosure, Escape, resize, Redock, title-bar close and owner retirement.</w:t>
      </w:r>
    </w:p>
    <w:p/>
    <w:p>
      <w:r>
        <w:t>Attempt 10 saved normally with exit zero, no reported runtime errors and engine</w:t>
      </w:r>
    </w:p>
    <w:p>
      <w:r>
        <w:t>hours 59.487022399902344 to 60.44512176513672.</w:t>
      </w:r>
    </w:p>
    <w:p>
      <w:r>
        <w:t>Saved arrows, zoom, keyboard and Fit operate locally and issue no native POST.</w:t>
      </w:r>
    </w:p>
    <w:p>
      <w:r>
        <w:t>The completed native receipt verifies adapter, package and saved-state</w:t>
      </w:r>
    </w:p>
    <w:p>
      <w:r>
        <w:t>inventories. Predecessor 9 remains diagnostic: its Intel renderer and absolute</w:t>
      </w:r>
    </w:p>
    <w:p>
      <w:r>
        <w:t>keyframe schedule produced real source stalls and a shrinking retained window.</w:t>
      </w:r>
    </w:p>
    <w:p>
      <w:r>
        <w:t>Changing renderer routing and fragment scheduling together establishes no</w:t>
      </w:r>
    </w:p>
    <w:p>
      <w:r>
        <w:t>isolated speedup. The first repaired observer proof lost its desktop context;</w:t>
      </w:r>
    </w:p>
    <w:p>
      <w:r>
        <w:t>its failure is retained, and the successful attached retry is the acceptance.</w:t>
      </w:r>
    </w:p>
    <w:p>
      <w:r>
        <w:t>Original packaged inputs remain independently verified. No baseline was replaced.</w:t>
      </w:r>
    </w:p>
    <w:p/>
    <w:p>
      <w:r>
        <w:t>This observation work establishes no trained mastery, broad gameplay competence</w:t>
      </w:r>
    </w:p>
    <w:p>
      <w:r>
        <w:t>or general machine throughput. Education, culture, development, appearance,</w:t>
      </w:r>
    </w:p>
    <w:p>
      <w:r>
        <w:t>behavioral learning and the authorized mod integration remain their own work.</w:t>
      </w:r>
    </w:p>
    <w:p/>
    <w:p>
      <w:r>
        <w:t>The first normal gate found that the two new unittest drivers lacked its</w:t>
      </w:r>
    </w:p>
    <w:p>
      <w:r>
        <w:t>explicit failure-return convention. Each now returns SystemExit from the actual</w:t>
      </w:r>
    </w:p>
    <w:p>
      <w:r>
        <w:t>unittest result. Isolated selected failing cases exit one; silent-zero mutations</w:t>
      </w:r>
    </w:p>
    <w:p>
      <w:r>
        <w:t>exit zero and are detected. Fixture bodies remain byte-equivalent under the old</w:t>
      </w:r>
    </w:p>
    <w:p>
      <w:r>
        <w:t>guard. Gate reach confirms all 237 mirrors run and can fail. The interrupted</w:t>
      </w:r>
    </w:p>
    <w:p>
      <w:r>
        <w:t>first gate left an unpublished draft commit; the final complete normal hook</w:t>
      </w:r>
    </w:p>
    <w:p>
      <w:r>
        <w:t>checks the amended candidate before any branch publication.</w:t>
      </w:r>
    </w:p>
    <w:p/>
    <w:p>
      <w:r>
        <w:t>The uninterrupted amended-candidate gate completed its checks and returned one</w:t>
      </w:r>
    </w:p>
    <w:p>
      <w:r>
        <w:t>for stale canonical inventory counts. SESSION_STATE now states 237 invoked test</w:t>
      </w:r>
    </w:p>
    <w:p>
      <w:r>
        <w:t>files and 253 distinct scripts; literal printed border labels still extend</w:t>
      </w:r>
    </w:p>
    <w:p>
      <w:r>
        <w:t>through 233. The renderer metadata now matches its current 0.753-second CLI</w:t>
      </w:r>
    </w:p>
    <w:p>
      <w:r>
        <w:t>receipt. These record repairs preserve the tested runtime and fixture bodies.</w:t>
      </w:r>
    </w:p>
    <w:p>
      <w:r>
        <w:t>The next normal full hook owns acceptance of the corrected candidate.</w:t>
      </w:r>
    </w:p>
    <w:p/>
    <w:p>
      <w:r>
        <w:t>The installed observer now uses Mousecat's actual merged A26 source, including</w:t>
      </w:r>
    </w:p>
    <w:p>
      <w:r>
        <w:t>A25 video/Window ownership. Its supported service update preserves the runner</w:t>
      </w:r>
    </w:p>
    <w:p>
      <w:r>
        <w:t>configuration, 28 pending items and the same ended source binding. Actual saved</w:t>
      </w:r>
    </w:p>
    <w:p>
      <w:r>
        <w:t>Window navigation and the lazily opened 40-record/38-reference observation map</w:t>
      </w:r>
    </w:p>
    <w:p>
      <w:r>
        <w:t>pass without a native POST or source advance. Selection reaches the existing</w:t>
      </w:r>
    </w:p>
    <w:p>
      <w:r>
        <w:t>person inspector; typed reference traversal preserves keyboard focus. This</w:t>
      </w:r>
    </w:p>
    <w:p>
      <w:r>
        <w:t>installed saved-state acceptance supplies no additional live throughput sample.</w:t>
      </w:r>
    </w:p>
    <w:p/>
    <w:p>
      <w:pPr>
        <w:pStyle w:val="Heading2"/>
      </w:pPr>
      <w:r>
        <w:t>Standing validation policy</w:t>
      </w:r>
    </w:p>
    <w:p/>
    <w:p>
      <w:r>
        <w:t>DR-054 records the operator's 2026-10-03 standing validation instruction.</w:t>
      </w:r>
    </w:p>
    <w:p>
      <w:r>
        <w:t>GOVERNANCE.md owns proportionate checks, evidence applicability and invalidation,</w:t>
      </w:r>
    </w:p>
    <w:p>
      <w:r>
        <w:t>independently valid successes, explicit unverified boundaries, cheap-first</w:t>
      </w:r>
    </w:p>
    <w:p>
      <w:r>
        <w:t>ordering, justified broader runs and task completion. NEO.md, both autoload</w:t>
      </w:r>
    </w:p>
    <w:p>
      <w:r>
        <w:t>shims, the README and the pull-request template apply that posture.</w:t>
      </w:r>
    </w:p>
    <w:p/>
    <w:p>
      <w:r>
        <w:t>The already active complete normal source gate finished with actual exit zero</w:t>
      </w:r>
    </w:p>
    <w:p>
      <w:r>
        <w:t>on tree `89094ca799487e465df720b649293762ecd98140`, commit `a747a35e7b58ab9365eecf9879c22f9cd84c36af`.</w:t>
      </w:r>
    </w:p>
    <w:p>
      <w:r>
        <w:t>Its full log has SHA-256 `a524e8ef7a503b606be0827e635f3ed4e33d4ee7b48674de14f7e80b5ee326df`. The workflow update</w:t>
      </w:r>
    </w:p>
    <w:p>
      <w:r>
        <w:t>was prepared separately and applied only after that run completed; its relevant</w:t>
      </w:r>
    </w:p>
    <w:p>
      <w:r>
        <w:t>runtime implementation, tests, dependencies, configuration and environment</w:t>
      </w:r>
    </w:p>
    <w:p>
      <w:r>
        <w:t>remain unchanged. Applicable source/runtime successes are reused for the</w:t>
      </w:r>
    </w:p>
    <w:p>
      <w:r>
        <w:t>metadata amendment. Document currency, current inventory, session/index</w:t>
      </w:r>
    </w:p>
    <w:p>
      <w:r>
        <w:t>references, wording and generated DOCX packages receive their scoped checks;</w:t>
      </w:r>
    </w:p>
    <w:p>
      <w:r>
        <w:t>the retained verification inventory records those results separately.</w:t>
      </w:r>
    </w:p>
    <w:p/>
    <w:p>
      <w:r>
        <w:t>The amendment uses the existing command-scoped local hook bypass after scoped</w:t>
      </w:r>
    </w:p>
    <w:p>
      <w:r>
        <w:t>verification, with this evidence-reuse reason recorded. It does not claim a</w:t>
      </w:r>
    </w:p>
    <w:p>
      <w:r>
        <w:t>second full-suite pass. GitHub branch protection requires `ci-verify` and</w:t>
      </w:r>
    </w:p>
    <w:p>
      <w:r>
        <w:t>`codeql-python`; the existing CI workflow still invokes the full suite.</w:t>
      </w:r>
    </w:p>
    <w:p>
      <w:r>
        <w:t>That remote requirement remains a concrete publication constraint.</w:t>
      </w:r>
    </w:p>
    <w:p/>
    <w:p>
      <w:r>
        <w:t>ROADMAP.md and SESSION_STATE.md retain the requested early GZDS</w:t>
      </w:r>
    </w:p>
    <w:p>
      <w:r>
        <w:t>founding-document revision. Its foundation regulation remains follow-up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