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`3.11.0.0-pre-alpha`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Governance follow-up</w:t>
      </w:r>
    </w:p>
    <w:p/>
    <w:p>
      <w:r>
        <w:t>The operator requested an early GZDS founding-document revision on</w:t>
      </w:r>
    </w:p>
    <w:p>
      <w:r>
        <w:t>2026-10-03. Repeated full validation after metadata repairs is a major</w:t>
      </w:r>
    </w:p>
    <w:p>
      <w:r>
        <w:t>output cost. Extend the standing proportionate-validation rule in</w:t>
      </w:r>
    </w:p>
    <w:p>
      <w:r>
        <w:t>GOVERNANCE.md and DR-054 into a complete foundation regulation: affected</w:t>
      </w:r>
    </w:p>
    <w:p>
      <w:r>
        <w:t>contracts and dependencies, evidence applicability and invalidation,</w:t>
      </w:r>
    </w:p>
    <w:p>
      <w:r>
        <w:t>independently valid partial results, justified escalation, cheap-first</w:t>
      </w:r>
    </w:p>
    <w:p>
      <w:r>
        <w:t>ordering and concrete hook/CI constraints. Scale analysis with maturity,</w:t>
      </w:r>
    </w:p>
    <w:p>
      <w:r>
        <w:t>preserve settled decisions and justified conclusions, and retire redundant</w:t>
      </w:r>
    </w:p>
    <w:p>
      <w:r>
        <w:t>procedure. Each check or review resolves a relevant uncertainty. Inspect</w:t>
      </w:r>
    </w:p>
    <w:p>
      <w:r>
        <w:t>GZDS's live canonical documents and actual enforcement before revision.</w:t>
      </w:r>
    </w:p>
    <w:p>
      <w:r>
        <w:t>This follow-up remains</w:t>
      </w:r>
    </w:p>
    <w:p>
      <w:r>
        <w:t>open; the SAO instruction update does not claim GZDS is revised.</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