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`3.10.3.0-pre-alpha`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The intended progression is mechanical readiness across the simulation,</w:t>
      </w:r>
    </w:p>
    <w:p>
      <w:r>
        <w:t>Speakeasy training and runtime integration, then tuning toward first play.</w:t>
      </w:r>
    </w:p>
    <w:p>
      <w:r>
        <w:t>This follows Speakeasy RECORD entry 45. Batch closure and a green gate do not</w:t>
      </w:r>
    </w:p>
    <w:p>
      <w:r>
        <w:t>establish readiness where causal mechanisms are missing or contradicted by</w:t>
      </w:r>
    </w:p>
    <w:p>
      <w:r>
        <w:t>evidence. SESSION_STATE.md states the current assessment.</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r>
        <w:t>C112 closes one measured repair slice: an already-adjacent actor with an exact</w:t>
      </w:r>
    </w:p>
    <w:p>
      <w:r>
        <w:t>main-inventory pane can select a privately visible damaged window through</w:t>
      </w:r>
    </w:p>
    <w:p>
      <w:r>
        <w:t>fortification, execute the installed action and retain its canonical result</w:t>
      </w:r>
    </w:p>
    <w:p>
      <w:r>
        <w:t>and performed private experience. Current body/world/window/material and</w:t>
      </w:r>
    </w:p>
    <w:p>
      <w:r>
        <w:t>Standing still own admission; a queue or approach supplies no completion.</w:t>
      </w:r>
    </w:p>
    <w:p>
      <w:r>
        <w:t>Late native cancellation has an independent bounded owner across death,</w:t>
      </w:r>
    </w:p>
    <w:p>
      <w:r>
        <w:t>reset and handoff.</w:t>
      </w:r>
    </w:p>
    <w:p>
      <w:r>
        <w:t>Action-owned binding capsules and latest per-person offers now have explicit</w:t>
      </w:r>
    </w:p>
    <w:p>
      <w:r>
        <w:t>disposal, measured in installed Kahlua. The source is reanchored onto public C111</w:t>
      </w:r>
    </w:p>
    <w:p>
      <w:r>
        <w:t>and its version-stamped package passes; the complete normal closing gate</w:t>
      </w:r>
    </w:p>
    <w:p>
      <w:r>
        <w:t>has its own log and exit receipt. Player and NPC terminal callbacks</w:t>
      </w:r>
    </w:p>
    <w:p>
      <w:r>
        <w:t>preserve successor queues and shared flags after exact old-owner acknowledgement.</w:t>
      </w:r>
    </w:p>
    <w:p/>
    <w:p>
      <w:r>
        <w:t>The next window work joins native approach, nested-bag transfer and actual pane</w:t>
      </w:r>
    </w:p>
    <w:p>
      <w:r>
        <w:t>acquisition or crafting to that same purpose and result owner. Headless dormant</w:t>
      </w:r>
    </w:p>
    <w:p>
      <w:r>
        <w:t>physical work, multiplayer authority and loaded-game acceptance remain open.</w:t>
      </w:r>
    </w:p>
    <w:p>
      <w:r>
        <w:t>DR-053 continues whole-collection and later-source discovery and curated effect</w:t>
      </w:r>
    </w:p>
    <w:p>
      <w:r>
        <w:t>ownership; this batch adds no trait catalogue and completes no unrelated</w:t>
      </w:r>
    </w:p>
    <w:p>
      <w:r>
        <w:t>clinical, growth, exercise or utility producer.</w:t>
      </w:r>
    </w:p>
    <w:p/>
    <w:p>
      <w:pPr>
        <w:pStyle w:val="Heading2"/>
      </w:pPr>
      <w:r>
        <w:t>Border compression and private unified project</w:t>
      </w:r>
    </w:p>
    <w:p/>
    <w:p>
      <w:r>
        <w:t>DR-041 sets the immediate continuation after C56: compress the mod's borders,</w:t>
      </w:r>
    </w:p>
    <w:p>
      <w:r>
        <w:t>following the A/B/C consolidation precedent, then work toward one private</w:t>
      </w:r>
    </w:p>
    <w:p>
      <w:r>
        <w:t>unified mod/project across SAO, ZAO and Speakeasy's runtime artifacts.</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Neither batch is a loaded-world play receipt. Remaining</w:t>
      </w:r>
    </w:p>
    <w:p>
      <w:r>
        <w:t>technical investigations have named outputs below; they are part of the work,</w:t>
      </w:r>
    </w:p>
    <w:p>
      <w:r>
        <w:t>rather than indefinite deferrals.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broader natural action coverage and loaded-world consequence sampling remain open.</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R9 closes only when every producer row has its own evidence. R8 similarly</w:t>
      </w:r>
    </w:p>
    <w:p>
      <w:r>
        <w:t>accounts for every audited action family. A thin demonstration in one family</w:t>
      </w:r>
    </w:p>
    <w:p>
      <w:r>
        <w:t>does not discharge the rest of the row. Historical and learned runs declare</w:t>
      </w:r>
    </w:p>
    <w:p>
      <w:r>
        <w:t>their supported coverage explicitly.</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loaded-game memory and latency before activation. Loaded-game acceptance remains distinct from offline evidence.</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 Play acceptance is distinct from mechanical</w:t>
      </w:r>
    </w:p>
    <w:p>
      <w:r>
        <w:t>verification; no new play-session prerequisite is introduced here.</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