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C115 - Persistent subject observation</w:t>
            </w:r>
          </w:p>
        </w:tc>
      </w:tr>
      <w:tr>
        <w:tc>
          <w:tcPr>
            <w:tcW w:type="dxa" w:w="4320"/>
          </w:tcPr>
          <w:p>
            <w:r>
              <w:t>Timestamp</w:t>
            </w:r>
          </w:p>
        </w:tc>
        <w:tc>
          <w:tcPr>
            <w:tcW w:type="dxa" w:w="4320"/>
          </w:tcPr>
          <w:p>
            <w:r>
              <w:t>2026-10-03 03:08 UTC / 20:08 PST</w:t>
            </w:r>
          </w:p>
        </w:tc>
      </w:tr>
      <w:tr>
        <w:tc>
          <w:tcPr>
            <w:tcW w:type="dxa" w:w="4320"/>
          </w:tcPr>
          <w:p>
            <w:r>
              <w:t>Thread</w:t>
            </w:r>
          </w:p>
        </w:tc>
        <w:tc>
          <w:tcPr>
            <w:tcW w:type="dxa" w:w="4320"/>
          </w:tcPr>
          <w:p>
            <w:r>
              <w:t>T-030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patch</w:t>
            </w:r>
          </w:p>
        </w:tc>
      </w:tr>
    </w:tbl>
    <w:p/>
    <w:p>
      <w:pPr>
        <w:pStyle w:val="Heading1"/>
      </w:pPr>
      <w:r>
        <w:t>Persistent subject observation</w:t>
      </w:r>
    </w:p>
    <w:p/>
    <w:p>
      <w:r>
        <w:t>The sealed observer layout accepts an optional `subjectId` per site. It is a</w:t>
      </w:r>
    </w:p>
    <w:p>
      <w:r>
        <w:t>unique visible-ASCII identity of one to 128 characters. The seal includes it,</w:t>
      </w:r>
    </w:p>
    <w:p>
      <w:r>
        <w:t>and saved continuation retains it with the existing site. Native slots and</w:t>
      </w:r>
    </w:p>
    <w:p>
      <w:r>
        <w:t>copied gameplay state keep their established ownership. Malformed site values</w:t>
      </w:r>
    </w:p>
    <w:p>
      <w:r>
        <w:t>receive the ordinary contract refusal.</w:t>
      </w:r>
    </w:p>
    <w:p/>
    <w:p>
      <w:r>
        <w:t>Speakeasy R87 assigns each subject camera to that exact person across the</w:t>
      </w:r>
    </w:p>
    <w:p>
      <w:r>
        <w:t>authored world. Activity ranking and nearby urgency do not replace an assigned</w:t>
      </w:r>
    </w:p>
    <w:p>
      <w:r>
        <w:t>person. Missing, dead or unavailable subjects clear the pictured claim. Native</w:t>
      </w:r>
    </w:p>
    <w:p>
      <w:r>
        <w:t>command acknowledgement and captured binary32 pose identity qualify the label.</w:t>
      </w:r>
    </w:p>
    <w:p>
      <w:r>
        <w:t>Manual browsing affects its own view; zoom preserves automatic ownership, and</w:t>
      </w:r>
    </w:p>
    <w:p>
      <w:r>
        <w:t>Follow resumes the same assigned person. Current source camera controls carry</w:t>
      </w:r>
    </w:p>
    <w:p>
      <w:r>
        <w:t>their own clock, separate from a slower image's pictured projection.</w:t>
      </w:r>
    </w:p>
    <w:p/>
    <w:p>
      <w:r>
        <w:t>Mousecat A23.4 names the subjects, preserves accepted-image facts and offers</w:t>
      </w:r>
    </w:p>
    <w:p>
      <w:r>
        <w:t>Wide, Square and Frame shapes with Fit or Fill framing. Quiet successful</w:t>
      </w:r>
    </w:p>
    <w:p>
      <w:r>
        <w:t>captions retain explicit stale, failed, paused, unavailable and ended states.</w:t>
      </w:r>
    </w:p>
    <w:p>
      <w:r>
        <w:t>Window opens a resizable independent view with source-routed tools.</w:t>
      </w:r>
    </w:p>
    <w:p/>
    <w:p>
      <w:pPr>
        <w:pStyle w:val="Heading2"/>
      </w:pPr>
      <w:r>
        <w:t>Verification and observation</w:t>
      </w:r>
    </w:p>
    <w:p/>
    <w:p>
      <w:r>
        <w:t>Sixteen layout tests pass. Controlled removal of duplicate-subject validation</w:t>
      </w:r>
    </w:p>
    <w:p>
      <w:r>
        <w:t>and the subject seal causes the corresponding production tests to fail.</w:t>
      </w:r>
    </w:p>
    <w:p>
      <w:r>
        <w:t>Border 233 runs the layout suite in the normal complete gate.</w:t>
      </w:r>
    </w:p>
    <w:p>
      <w:r>
        <w:t>R87 and A23.4 own their separate source and readiness receipts.</w:t>
      </w:r>
    </w:p>
    <w:p/>
    <w:p>
      <w:r>
        <w:t>The normal checkpoint of the copied two-person pass exited zero, saved</w:t>
      </w:r>
    </w:p>
    <w:p>
      <w:r>
        <w:t>natively and advanced from hour 32.38853073120117 to 38.080657958984375.</w:t>
      </w:r>
    </w:p>
    <w:p>
      <w:r>
        <w:t>The restarted bridge acknowledges sao-1 at the west slot and sao-2 at the</w:t>
      </w:r>
    </w:p>
    <w:p>
      <w:r>
        <w:t>east slot in distinct same-frame native images. The earlier running bridge</w:t>
      </w:r>
    </w:p>
    <w:p>
      <w:r>
        <w:t>had imported the previous decimal tolerance; its failed first acknowledgement</w:t>
      </w:r>
    </w:p>
    <w:p>
      <w:r>
        <w:t>is retained separately. This observer trial establishes bounded following,</w:t>
      </w:r>
    </w:p>
    <w:p>
      <w:r>
        <w:t>not learned policy competence or general performance.</w:t>
      </w:r>
    </w:p>
    <w:p/>
    <w:p>
      <w:r>
        <w:t>The matched capped/uncapped comparison uses four separately verified copies,</w:t>
      </w:r>
    </w:p>
    <w:p>
      <w:r>
        <w:t>two repeats per setting, normal speed and 120-second windows beginning 30</w:t>
      </w:r>
    </w:p>
    <w:p>
      <w:r>
        <w:t>seconds after world advancement and both native and bridge pixels are ready.</w:t>
      </w:r>
    </w:p>
    <w:p>
      <w:r>
        <w:t>All copies save normally; the original save verifies unchanged. Mean native</w:t>
      </w:r>
    </w:p>
    <w:p>
      <w:r>
        <w:t>and bridge composite image rates are 3.0375/s capped and 1.9333/s uncapped.</w:t>
      </w:r>
    </w:p>
    <w:p>
      <w:r>
        <w:t>Median bridge capture ages are 291.4 ms and 272.4 ms; P95 interarrival gaps</w:t>
      </w:r>
    </w:p>
    <w:p>
      <w:r>
        <w:t>are 509.0 ms and 763.5 ms. Uncapped observation remains the selected setting.</w:t>
      </w:r>
    </w:p>
    <w:p>
      <w:r>
        <w:t>The benchmark identifies the PNG path as unfinished work; these image rates</w:t>
      </w:r>
    </w:p>
    <w:p>
      <w:r>
        <w:t>and observer callbacks do not measure rendered or browser FPS.</w:t>
      </w:r>
    </w:p>
    <w:p/>
    <w:p>
      <w:r>
        <w:t>Continuous encoded video, spectator building occlusion and a source-normalized</w:t>
      </w:r>
    </w:p>
    <w:p>
      <w:r>
        <w:t>ancillary map/graph continue in the next owned slice. The public evidence</w:t>
      </w:r>
    </w:p>
    <w:p>
      <w:r>
        <w:t>contains the compact comparison, controls and bounded subject receipt.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