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C68 producer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Existing substrate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C68 producer and owner</w:t>
            </w:r>
          </w:p>
        </w:tc>
        <w:tc>
          <w:tcPr>
            <w:tcW w:type="dxa" w:w="1656"/>
          </w:tcPr>
          <w:p>
            <w:r>
              <w:rPr>
                <w:b/>
              </w:rPr>
              <w:t>Persistence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1656"/>
          </w:tcPr>
          <w:p>
            <w:r>
              <w:rPr>
                <w:b/>
              </w:rPr>
              <w:t>Remaining boundary</w:t>
            </w:r>
          </w:p>
        </w:tc>
      </w:tr>
      <w:tr>
        <w:tc>
          <w:tcPr>
            <w:tcW w:type="dxa" w:w="1656"/>
          </w:tcPr>
          <w:p>
            <w:r>
              <w:t>Personal item request</w:t>
            </w:r>
          </w:p>
        </w:tc>
        <w:tc>
          <w:tcPr>
            <w:tcW w:type="dxa" w:w="1656"/>
          </w:tcPr>
          <w:p>
            <w:r>
              <w:t>Needs selects an actual carried item; Exchange/Controller choose the recipient</w:t>
            </w:r>
          </w:p>
        </w:tc>
        <w:tc>
          <w:tcPr>
            <w:tcW w:type="dxa" w:w="1656"/>
          </w:tcPr>
          <w:p>
            <w:r>
              <w:t>Handover.begin validates people, range, item identity and holder, then requests one vanilla action</w:t>
            </w:r>
          </w:p>
        </w:tc>
        <w:tc>
          <w:tcPr>
            <w:tcW w:type="dxa" w:w="1656"/>
          </w:tcPr>
          <w:p>
            <w:r>
              <w:t>Scalar pending record; live objects stay runtime-only</w:t>
            </w:r>
          </w:p>
        </w:tc>
        <w:tc>
          <w:tcPr>
            <w:tcW w:type="dxa" w:w="1656"/>
          </w:tcPr>
          <w:p>
            <w:r>
              <w:t>Border 182 queue/refusal and scalar-record cases</w:t>
            </w:r>
          </w:p>
        </w:tc>
        <w:tc>
          <w:tcPr>
            <w:tcW w:type="dxa" w:w="1656"/>
          </w:tcPr>
          <w:p>
            <w:r>
              <w:t>Reload without a supported item resolver remains unknown.</w:t>
            </w:r>
          </w:p>
        </w:tc>
      </w:tr>
      <w:tr>
        <w:tc>
          <w:tcPr>
            <w:tcW w:type="dxa" w:w="1656"/>
          </w:tcPr>
          <w:p>
            <w:r>
              <w:t>Performed handover</w:t>
            </w:r>
          </w:p>
        </w:tc>
        <w:tc>
          <w:tcPr>
            <w:tcW w:type="dxa" w:w="1656"/>
          </w:tcPr>
          <w:p>
            <w:r>
              <w:t>Vanilla ISInventoryTransferAction mutates holders</w:t>
            </w:r>
          </w:p>
        </w:tc>
        <w:tc>
          <w:tcPr>
            <w:tcW w:type="dxa" w:w="1656"/>
          </w:tcPr>
          <w:p>
            <w:r>
              <w:t>SAOHandoverTransferAction.transferItem repeats validity and verifies destination/source holders</w:t>
            </w:r>
          </w:p>
        </w:tc>
        <w:tc>
          <w:tcPr>
            <w:tcW w:type="dxa" w:w="1656"/>
          </w:tcPr>
          <w:p>
            <w:r>
              <w:t>Completed or terminal status with its event time</w:t>
            </w:r>
          </w:p>
        </w:tc>
        <w:tc>
          <w:tcPr>
            <w:tcW w:type="dxa" w:w="1656"/>
          </w:tcPr>
          <w:p>
            <w:r>
              <w:t>Native completion, interruption and holder-conflict cases</w:t>
            </w:r>
          </w:p>
        </w:tc>
        <w:tc>
          <w:tcPr>
            <w:tcW w:type="dxa" w:w="1656"/>
          </w:tcPr>
          <w:p>
            <w:r>
              <w:t>Loaded-save gameplay remains unobserved.</w:t>
            </w:r>
          </w:p>
        </w:tc>
      </w:tr>
      <w:tr>
        <w:tc>
          <w:tcPr>
            <w:tcW w:type="dxa" w:w="1656"/>
          </w:tcPr>
          <w:p>
            <w:r>
              <w:t>Gift consequence</w:t>
            </w:r>
          </w:p>
        </w:tc>
        <w:tc>
          <w:tcPr>
            <w:tcW w:type="dxa" w:w="1656"/>
          </w:tcPr>
          <w:p>
            <w:r>
              <w:t>Existing trust, voice, care and yield consumers</w:t>
            </w:r>
          </w:p>
        </w:tc>
        <w:tc>
          <w:tcPr>
            <w:tcW w:type="dxa" w:w="1656"/>
          </w:tcPr>
          <w:p>
            <w:r>
              <w:t>Handover applies the saved consequence once after completion</w:t>
            </w:r>
          </w:p>
        </w:tc>
        <w:tc>
          <w:tcPr>
            <w:tcW w:type="dxa" w:w="1656"/>
          </w:tcPr>
          <w:p>
            <w:r>
              <w:t>effectApplied on the completed record</w:t>
            </w:r>
          </w:p>
        </w:tc>
        <w:tc>
          <w:tcPr>
            <w:tcW w:type="dxa" w:w="1656"/>
          </w:tcPr>
          <w:p>
            <w:r>
              <w:t>Queue-only mutation control; repeat reconciliation</w:t>
            </w:r>
          </w:p>
        </w:tc>
        <w:tc>
          <w:tcPr>
            <w:tcW w:type="dxa" w:w="1656"/>
          </w:tcPr>
          <w:p>
            <w:r>
              <w:t>Open-wound treatment has its own unfinished completion boundary.</w:t>
            </w:r>
          </w:p>
        </w:tc>
      </w:tr>
      <w:tr>
        <w:tc>
          <w:tcPr>
            <w:tcW w:type="dxa" w:w="1656"/>
          </w:tcPr>
          <w:p>
            <w:r>
              <w:t>Debt settlement</w:t>
            </w:r>
          </w:p>
        </w:tc>
        <w:tc>
          <w:tcPr>
            <w:tcW w:type="dxa" w:w="1656"/>
          </w:tcPr>
          <w:p>
            <w:r>
              <w:t>Standing owns the existing personal debt ledger</w:t>
            </w:r>
          </w:p>
        </w:tc>
        <w:tc>
          <w:tcPr>
            <w:tcW w:type="dxa" w:w="1656"/>
          </w:tcPr>
          <w:p>
            <w:r>
              <w:t>Completed settlement handover calls the existing settle verb</w:t>
            </w:r>
          </w:p>
        </w:tc>
        <w:tc>
          <w:tcPr>
            <w:tcW w:type="dxa" w:w="1656"/>
          </w:tcPr>
          <w:p>
            <w:r>
              <w:t>Completion record plus existing Standing relation</w:t>
            </w:r>
          </w:p>
        </w:tc>
        <w:tc>
          <w:tcPr>
            <w:tcW w:type="dxa" w:w="1656"/>
          </w:tcPr>
          <w:p>
            <w:r>
              <w:t>Settlement call-site and completion-only contract anchors</w:t>
            </w:r>
          </w:p>
        </w:tc>
        <w:tc>
          <w:tcPr>
            <w:tcW w:type="dxa" w:w="1656"/>
          </w:tcPr>
          <w:p>
            <w:r>
              <w:t>Complete inventory and broader material appraisal remain open.</w:t>
            </w:r>
          </w:p>
        </w:tc>
      </w:tr>
      <w:tr>
        <w:tc>
          <w:tcPr>
            <w:tcW w:type="dxa" w:w="1656"/>
          </w:tcPr>
          <w:p>
            <w:r>
              <w:t>Bilateral exchange</w:t>
            </w:r>
          </w:p>
        </w:tc>
        <w:tc>
          <w:tcPr>
            <w:tcW w:type="dxa" w:w="1656"/>
          </w:tcPr>
          <w:p>
            <w:r>
              <w:t>Existing need-shaped barter identifies two possible legs</w:t>
            </w:r>
          </w:p>
        </w:tc>
        <w:tc>
          <w:tcPr>
            <w:tcW w:type="dxa" w:w="1656"/>
          </w:tcPr>
          <w:p>
            <w:r>
              <w:t>Proposal records both directions; acceptance requires both actions admitted</w:t>
            </w:r>
          </w:p>
        </w:tc>
        <w:tc>
          <w:tcPr>
            <w:tcW w:type="dxa" w:w="1656"/>
          </w:tcPr>
          <w:p>
            <w:r>
              <w:t>Term plus two handover IDs and statuses</w:t>
            </w:r>
          </w:p>
        </w:tc>
        <w:tc>
          <w:tcPr>
            <w:tcW w:type="dxa" w:w="1656"/>
          </w:tcPr>
          <w:p>
            <w:r>
              <w:t>Unaccepted, accepted-partial and accepted-complete VM cases</w:t>
            </w:r>
          </w:p>
        </w:tc>
        <w:tc>
          <w:tcPr>
            <w:tcW w:type="dxa" w:w="1656"/>
          </w:tcPr>
          <w:p>
            <w:r>
              <w:t>No player trade UI or dormant barter is claimed.</w:t>
            </w:r>
          </w:p>
        </w:tc>
      </w:tr>
      <w:tr>
        <w:tc>
          <w:tcPr>
            <w:tcW w:type="dxa" w:w="1656"/>
          </w:tcPr>
          <w:p>
            <w:r>
              <w:t>Partial exchange debt</w:t>
            </w:r>
          </w:p>
        </w:tc>
        <w:tc>
          <w:tcPr>
            <w:tcW w:type="dxa" w:w="1656"/>
          </w:tcPr>
          <w:p>
            <w:r>
              <w:t>DR-044 permits debt only for an accepted exchange or promise</w:t>
            </w:r>
          </w:p>
        </w:tc>
        <w:tc>
          <w:tcPr>
            <w:tcW w:type="dxa" w:w="1656"/>
          </w:tcPr>
          <w:p>
            <w:r>
              <w:t>Accepted term finalization reads one completed leg and one terminal failed leg</w:t>
            </w:r>
          </w:p>
        </w:tc>
        <w:tc>
          <w:tcPr>
            <w:tcW w:type="dxa" w:w="1656"/>
          </w:tcPr>
          <w:p>
            <w:r>
              <w:t>debtApplied on the term</w:t>
            </w:r>
          </w:p>
        </w:tc>
        <w:tc>
          <w:tcPr>
            <w:tcW w:type="dxa" w:w="1656"/>
          </w:tcPr>
          <w:p>
            <w:r>
              <w:t>Partial term and idempotence cases</w:t>
            </w:r>
          </w:p>
        </w:tc>
        <w:tc>
          <w:tcPr>
            <w:tcW w:type="dxa" w:w="1656"/>
          </w:tcPr>
          <w:p>
            <w:r>
              <w:t>Perceived obligation remains separate private experience.</w:t>
            </w:r>
          </w:p>
        </w:tc>
      </w:tr>
    </w:tbl>
    <w:p>
      <w:r>
        <w:t>The implementation does not use queue acceptance as completion, reconstruct holder truth from elapsed time, or turn a failed proposal into debt. These are measured producer boundaries rather than new outcome rules.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