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p>
      <w:pPr>
        <w:pStyle w:val="Heading3"/>
      </w:pPr>
      <w:r>
        <w:t>Native window repair and private result (C112)</w:t>
      </w:r>
    </w:p>
    <w:p/>
    <w:p>
      <w:r>
        <w:t>C112 connects the existing fortification decision to an optional installed</w:t>
      </w:r>
    </w:p>
    <w:p>
      <w:r>
        <w:t>window action. The survivor-private offer requires current visibility,</w:t>
      </w:r>
    </w:p>
    <w:p>
      <w:r>
        <w:t>facing, Standing permission, native interaction geometry and an exact pane</w:t>
      </w:r>
    </w:p>
    <w:p>
      <w:r>
        <w:t>in the main inventory. Current native object/add-list membership precedes</w:t>
      </w:r>
    </w:p>
    <w:p>
      <w:r>
        <w:t>admission and completion. Native boarding remains a real alternative.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Producer</w:t>
            </w:r>
          </w:p>
        </w:tc>
        <w:tc>
          <w:tcPr>
            <w:tcW w:type="dxa" w:w="1728"/>
          </w:tcPr>
          <w:p>
            <w:r>
              <w:t>Native result</w:t>
            </w:r>
          </w:p>
        </w:tc>
        <w:tc>
          <w:tcPr>
            <w:tcW w:type="dxa" w:w="1728"/>
          </w:tcPr>
          <w:p>
            <w:r>
              <w:t>Persistence and private consumer</w:t>
            </w:r>
          </w:p>
        </w:tc>
        <w:tc>
          <w:tcPr>
            <w:tcW w:type="dxa" w:w="1728"/>
          </w:tcPr>
          <w:p>
            <w:r>
              <w:t>Measured boundary</w:t>
            </w:r>
          </w:p>
        </w:tc>
        <w:tc>
          <w:tcPr>
            <w:tcW w:type="dxa" w:w="1728"/>
          </w:tcPr>
          <w:p>
            <w:r>
              <w:t>Remaining work</w:t>
            </w:r>
          </w:p>
        </w:tc>
      </w:tr>
      <w:tr>
        <w:tc>
          <w:tcPr>
            <w:tcW w:type="dxa" w:w="1728"/>
          </w:tcPr>
          <w:p>
            <w:r>
              <w:t>Controller fortification and WindowRepair</w:t>
            </w:r>
          </w:p>
        </w:tc>
        <w:tc>
          <w:tcPr>
            <w:tcW w:type="dxa" w:w="1728"/>
          </w:tcPr>
          <w:p>
            <w:r>
              <w:t>Installed complete(), exact pane removal and restored window glass</w:t>
            </w:r>
          </w:p>
        </w:tc>
        <w:tc>
          <w:tcPr>
            <w:tcW w:type="dxa" w:w="1728"/>
          </w:tcPr>
          <w:p>
            <w:r>
              <w:t>Plain bounded person work/outcomes; planner requery; authenticated Cognition acquisition and independent ordinary/associative cursors</w:t>
            </w:r>
          </w:p>
        </w:tc>
        <w:tc>
          <w:tcPr>
            <w:tcW w:type="dxa" w:w="1728"/>
          </w:tcPr>
          <w:p>
            <w:r>
              <w:t>Frozen stop-custody successor: 152 installed-execution cases/42 source controls, genuine native window/item receivers, full Controller death/handoff callers, native table roundtrip, GC disposal and exact character/window argument projection; private experience 1,025 extended assertions/86 controls across 89 executed invocations</w:t>
            </w:r>
          </w:p>
        </w:tc>
        <w:tc>
          <w:tcPr>
            <w:tcW w:type="dxa" w:w="1728"/>
          </w:tcPr>
          <w:p>
            <w:r>
              <w:t>Autonomous approach, nested-bag transfer, acquisition/crafting, dormant physical work and MP authority</w:t>
            </w:r>
          </w:p>
        </w:tc>
      </w:tr>
    </w:tbl>
    <w:p/>
    <w:p>
      <w:r>
        <w:t>Native cancellation has a separate retained runtime owner. Death, reset and</w:t>
      </w:r>
    </w:p>
    <w:p>
      <w:r>
        <w:t>handoff invalidate work, preserve the exact original action and queue until</w:t>
      </w:r>
    </w:p>
    <w:p>
      <w:r>
        <w:t>native acknowledgement, and use bounded OnTick retry after agent removal.</w:t>
      </w:r>
    </w:p>
    <w:p>
      <w:r>
        <w:t>Actions own private binding capsules; terminal original queue acknowledgement</w:t>
      </w:r>
    </w:p>
    <w:p>
      <w:r>
        <w:t>releases them to a scalar tombstone. Duplicate stop/perform leaves successor</w:t>
      </w:r>
    </w:p>
    <w:p>
      <w:r>
        <w:t>work untouched, and native character/window fields remain intact. Latest</w:t>
      </w:r>
    </w:p>
    <w:p>
      <w:r>
        <w:t>per-person offers have a global cap of 128 and explicit lifecycle disposal.</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Private learning has separate acknowledgements and bounded minute/start replay;</w:t>
      </w:r>
    </w:p>
    <w:p>
      <w:r>
        <w:t>unavailable learning cannot certify completion or prevent the physical action.</w:t>
      </w:r>
    </w:p>
    <w:p>
      <w:r>
        <w:t>Retiring an undelivered completed row records a learning omission explicitly.</w:t>
      </w:r>
    </w:p>
    <w:p>
      <w:r>
        <w:t>Source compatibility is an API join; no optional mod source or assets are copied.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declare durable/runtime ownership as they add state.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runtime memory/latency, task quality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across</w:t>
      </w:r>
    </w:p>
    <w:p>
      <w:r>
        <w:t>native save generations and fresh runtime owners.</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a product updates its delivered mechanics and applicable accumulated</w:t>
      </w:r>
    </w:p>
    <w:p>
      <w:r>
        <w:t>evidence in this map and ROADMAP. Neo maintains the current aggregate assessment</w:t>
      </w:r>
    </w:p>
    <w:p>
      <w:r>
        <w:t>from source, checks, simulation and ordinary play feedback. Planned producers</w:t>
      </w:r>
    </w:p>
    <w:p>
      <w:r>
        <w:t>retain their concrete implementation work.</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establishes this acquisition mechanism;</w:t>
      </w:r>
    </w:p>
    <w:p>
      <w:r>
        <w:t>natural-county distribution remains a coverage question.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