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Project More Life and its source ownership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`3.8.1.0-pre-alpha`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Project More Life</w:t>
      </w:r>
    </w:p>
    <w:p/>
    <w:p>
      <w:r>
        <w:t>Project More Life is the named compiled mod or mod set for this county.</w:t>
      </w:r>
    </w:p>
    <w:p>
      <w:r>
        <w:t>SAO, ZAO and Speakeasy are its current source repositories and modules.</w:t>
      </w:r>
    </w:p>
    <w:p>
      <w:r>
        <w:t>Their separate licences, gates and ownership contracts remain explicit as</w:t>
      </w:r>
    </w:p>
    <w:p>
      <w:r>
        <w:t>the assembly takes shape. The repository names do not name the product.</w:t>
      </w:r>
    </w:p>
    <w:p/>
    <w:p>
      <w:r>
        <w:t>Post Latent participates as a supporting project while also serving the</w:t>
      </w:r>
    </w:p>
    <w:p>
      <w:r>
        <w:t>broader ecosystem. Its source surface is not registered as one of the three</w:t>
      </w:r>
    </w:p>
    <w:p>
      <w:r>
        <w:t>current module repositories. The project relationship is recorded without</w:t>
      </w:r>
    </w:p>
    <w:p>
      <w:r>
        <w:t>claiming that Post Latent already ships inside the compiled mod.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Compiled project</w:t>
      </w:r>
    </w:p>
    <w:p/>
    <w:p>
      <w:r>
        <w:t>DR-041 establishes the intended release destination: Project More Life as a</w:t>
      </w:r>
    </w:p>
    <w:p>
      <w:r>
        <w:t>private compiled mod or mod set. The immediate work compresses SAO's borders;</w:t>
      </w:r>
    </w:p>
    <w:p>
      <w:r>
        <w:t>later work combines the cross-module contracts and the runtime pieces into</w:t>
      </w:r>
    </w:p>
    <w:p>
      <w:r>
        <w:t>that product.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its coherent product, record, log row, state advance</w:t>
      </w:r>
    </w:p>
    <w:p>
      <w:r>
        <w:t xml:space="preserve">  and sufficient affected-contract evidence.** Reuse applicable checks and</w:t>
      </w:r>
    </w:p>
    <w:p>
      <w:r>
        <w:t xml:space="preserve">  observations; a new or changed instrument has a discriminating control.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 and `SESSION_STATE.md`</w:t>
            </w:r>
          </w:p>
        </w:tc>
        <w:tc>
          <w:tcPr>
            <w:tcW w:type="dxa" w:w="2880"/>
          </w:tcPr>
          <w:p>
            <w:r>
              <w:t>C118-C120 supply private entry, measured recovery and authentic personal experience. D1 shared person-specific reasoning is CLOSED and merged through PR138. D2 Leisure is CLOSED; its protected publication is tracked in PR139. D3 construction/crafting/repair/utilities is next. Broader learned competence and calibration remain model work; C82 retains its bounded shadow standing.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A45 / `3a20065`; own `VERSION`</w:t>
            </w:r>
          </w:p>
        </w:tc>
        <w:tc>
          <w:tcPr>
            <w:tcW w:type="dxa" w:w="2880"/>
          </w:tcPr>
          <w:p>
            <w:r>
              <w:t>Current engine compatibility builds on the single Afflicted/Crossed driver and distinct state policies. Retained human bodies, private options and state-specific consequences remain established boundaries; broader material/social life and degradation remain development obligations.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90 / `34d05a8`</w:t>
            </w:r>
          </w:p>
        </w:tc>
        <w:tc>
          <w:tcPr>
            <w:tcW w:type="dxa" w:w="2880"/>
          </w:tcPr>
          <w:p>
            <w:r>
              <w:t>Current observation contract supports authentic learning evidence. R82's evaluated educational adapter scored 38/187 versus the seed's 43/187, with 0/49 numeric answers. R83's edition correction requires successor corpus, curriculum and assessment bindings before a qualified next fit. Broader consequential decisions and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