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three projects and what each owns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The three projects</w:t>
      </w:r>
    </w:p>
    <w:p/>
    <w:p>
      <w:r>
        <w:t>One county. Three repositories, because three things need separate</w:t>
      </w:r>
    </w:p>
    <w:p>
      <w:r>
        <w:t>licences and separate gates, not because they are three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Private unified project</w:t>
      </w:r>
    </w:p>
    <w:p/>
    <w:p>
      <w:r>
        <w:t>DR-041 establishes the intended release destination: one private unified</w:t>
      </w:r>
    </w:p>
    <w:p>
      <w:r>
        <w:t>mod/project. The immediate work compresses SAO's borders; later work combines</w:t>
      </w:r>
    </w:p>
    <w:p>
      <w:r>
        <w:t>the cross-module contracts and the runtime pieces into that project.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a record, a log row, a state advance, a border</w:t>
      </w:r>
    </w:p>
    <w:p>
      <w:r>
        <w:t xml:space="preserve">  for the class it found, and a control that flips the verdict.**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</w:t>
            </w:r>
          </w:p>
        </w:tc>
        <w:tc>
          <w:tcPr>
            <w:tcW w:type="dxa" w:w="2880"/>
          </w:tcPr>
          <w:p>
            <w:r>
              <w:t>C82 packages Speakeasy Record 67's exact coordination artifact and runs it as a bounded non-authoritative shadow after the real C79 appraisal. Revision, option and registered-owner drift withhold returned results; no model output creates a response or work.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`../zombie-awareness/VERSION`</w:t>
            </w:r>
          </w:p>
        </w:tc>
        <w:tc>
          <w:tcPr>
            <w:tcW w:type="dxa" w:w="2880"/>
          </w:tcPr>
          <w:p>
            <w:r>
              <w:t>A39 supplies one driver with distinct Afflicted/Crossed policies, actor-private option selection and state-evidenced settlements. Afflicted water/protein/alternative/human-origin consequences and Crossed ordinary/human-origin sustenance, predatory results, butchery and finite contaminated-weapon uses remain separate owners. Broader life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67 / `1e26f90`</w:t>
            </w:r>
          </w:p>
        </w:tc>
        <w:tc>
          <w:tcPr>
            <w:tcW w:type="dxa" w:w="2880"/>
          </w:tcPr>
          <w:p>
            <w:r>
              <w:t>Record 66 independently approves and trains the 20-row synthetic coordination family. Record 67 exports its exact FP32 tokenizer/model bundle and parity vectors with shadow-candidate standing; decline/withdraw data and broader learned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