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C67 - Delivery knowledge</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Record</w:t>
            </w:r>
          </w:p>
        </w:tc>
      </w:tr>
      <w:tr>
        <w:tc>
          <w:tcPr>
            <w:tcW w:type="dxa" w:w="4968"/>
          </w:tcPr>
          <w:p>
            <w:r>
              <w:t>Batch</w:t>
            </w:r>
          </w:p>
        </w:tc>
        <w:tc>
          <w:tcPr>
            <w:tcW w:type="dxa" w:w="4968"/>
          </w:tcPr>
          <w:p>
            <w:r>
              <w:t>C67</w:t>
            </w:r>
          </w:p>
        </w:tc>
      </w:tr>
      <w:tr>
        <w:tc>
          <w:tcPr>
            <w:tcW w:type="dxa" w:w="4968"/>
          </w:tcPr>
          <w:p>
            <w:r>
              <w:t>Date</w:t>
            </w:r>
          </w:p>
        </w:tc>
        <w:tc>
          <w:tcPr>
            <w:tcW w:type="dxa" w:w="4968"/>
          </w:tcPr>
          <w:p>
            <w:r>
              <w:t>2026-09-21</w:t>
            </w:r>
          </w:p>
        </w:tc>
      </w:tr>
      <w:tr>
        <w:tc>
          <w:tcPr>
            <w:tcW w:type="dxa" w:w="4968"/>
          </w:tcPr>
          <w:p>
            <w:r>
              <w:t>Name</w:t>
            </w:r>
          </w:p>
        </w:tc>
        <w:tc>
          <w:tcPr>
            <w:tcW w:type="dxa" w:w="4968"/>
          </w:tcPr>
          <w:p>
            <w:r>
              <w:t>Delivery knowledge</w:t>
            </w:r>
          </w:p>
        </w:tc>
      </w:tr>
      <w:tr>
        <w:tc>
          <w:tcPr>
            <w:tcW w:type="dxa" w:w="4968"/>
          </w:tcPr>
          <w:p>
            <w:r>
              <w:t>Status</w:t>
            </w:r>
          </w:p>
        </w:tc>
        <w:tc>
          <w:tcPr>
            <w:tcW w:type="dxa" w:w="4968"/>
          </w:tcPr>
          <w:p>
            <w:r>
              <w:t>Closed; complete repository gate enforced by the publishing commit.</w:t>
            </w:r>
          </w:p>
        </w:tc>
      </w:tr>
      <w:tr>
        <w:tc>
          <w:tcPr>
            <w:tcW w:type="dxa" w:w="4968"/>
          </w:tcPr>
          <w:p>
            <w:r>
              <w:t>Threads</w:t>
            </w:r>
          </w:p>
        </w:tc>
        <w:tc>
          <w:tcPr>
            <w:tcW w:type="dxa" w:w="4968"/>
          </w:tcPr>
          <w:p>
            <w:r>
              <w:t>T-003, T-004, T-008, T-009, T-030</w:t>
            </w:r>
          </w:p>
        </w:tc>
      </w:tr>
    </w:tbl>
    <w:p>
      <w:pPr>
        <w:pStyle w:val="Heading1"/>
      </w:pPr>
      <w:r>
        <w:t>Measured contract</w:t>
      </w:r>
    </w:p>
    <w:p>
      <w:r>
        <w:t>C66 proved native acquisition/storage and removed queue-created relationships. Its result carried no contemporaneous witnesses. Perception had private beliefs and testimony but no performed-transfer episodes. Loaded exchange admitted people by two-dimensional proximity; Standing selected assistance from global request metadata and Controller read unseen allied larder changes. These were distinct missing producers and knowledge leaks.</w:t>
      </w:r>
    </w:p>
    <w:p>
      <w:r>
        <w:t>The producer matrix connects physical mutation, native observation, durable result, private acquisition, testimony and personal response. DR-044 resolves the older gift/debt contradiction: perceived obligation belongs to the person; collectible trade debt requires an accepted exchange or promise.</w:t>
      </w:r>
    </w:p>
    <w:p>
      <w:pPr>
        <w:pStyle w:val="Heading1"/>
      </w:pPr>
      <w:r>
        <w:t>Implemented behavior</w:t>
      </w:r>
    </w:p>
    <w:p>
      <w:r>
        <w:t>The verified transfer wrapper proves a native item moved and captures observers in that invocation. Native admission checks living awake humans, current loaded ground, floor, facing, distance, complete sightlines and the actual static or vehicle holder. Time and physical position are frozen before deferred source reconciliation. Later observers cannot be added during reload. Hidden item properties, entire source inventory and the actor's intentions are not witness facts.</w:t>
      </w:r>
    </w:p>
    <w:p>
      <w:r>
        <w:t>WorldSources remains the durable action/result owner. Provisioning delivers captured observations into persistent Perception before acknowledging them, including when Material is disabled. A later material conflict retains the already-proved physical observation and its failed action result separately; it creates no successful stock projection, XP, trust or debt.</w:t>
      </w:r>
    </w:p>
    <w:p>
      <w:r>
        <w:t>Private transfer episodes retain event time, acquisition time, immediate teller and original provenance. Loaded speech and bodyless encounters use their own physical admission. Listener skepticism and speaker willingness remain in force. Testimony cannot upgrade itself to firsthand observation, refresh event age, copy a witness's feelings or recreate evicted episodes. Knowledge exposes these facts through its existing food/water topics without mutating the world.</w:t>
      </w:r>
    </w:p>
    <w:p>
      <w:r>
        <w:t>The original quartermaster acquires their request when they make it. Other people learn through admitted testimony. Carriers select only privately known requests and destinations; a heard request can accelerate a pact trip. Retrospective views withhold destination knowledge whose personal acquisition time is absent.</w:t>
      </w:r>
    </w:p>
    <w:p>
      <w:r>
        <w:t>A witness seeing provision on their own held ground can assess it against their own food/water pressure, compassion and trust in the actor. Their private episode holds that appraisal. Its strongest remembered signed effect can bend the existing charity decision toward that actor. The effect is a willingness preference, not an owed quantity; duplicate reports and deliveries do not accumulate a balance.</w:t>
      </w:r>
    </w:p>
    <w:p>
      <w:r>
        <w:t>Native saved hearing reads validated v3/v4 traits and worn-item script data, without creating items or a body. Loaded and dormant speech use the same verified rain/fog factor. Identity marks new generated default access explicitly; PhysicalFacts captures sleep. Hearing refusal applies to speech and does not suppress physical aid to a deaf person.</w:t>
      </w:r>
    </w:p>
    <w:p>
      <w:pPr>
        <w:pStyle w:val="Heading1"/>
      </w:pPr>
      <w:r>
        <w:t>Review and verification</w:t>
      </w:r>
    </w:p>
    <w:p>
      <w:r>
        <w:t>Independent review found and repaired moving-holder memory displacement, request-origin provenance/cooldown mismatch, unseen allied-stock urgency, discarded privately known destinations, a hearing check that blocked physical aid, deafness bypass after unload, a retrospective request/location join and loss of witnessed acts after a later source conflict. The evidence record holds the resulting checks and publication/install receipts.</w:t>
      </w:r>
    </w:p>
    <w:p>
      <w:r>
        <w:t>Existing Borders 176, 179 and 180 own the added behavioral and mutation probes. No gate entry point is added. Native method probes use controlled engine ports; full jar compilation checks actual installed APIs. Kahlua probes execute shipped owners. Static Controller anchors are reported separately from behavioral proof. The complete gate remains enforced by the closing commit.</w:t>
      </w:r>
    </w:p>
    <w:p>
      <w:r>
        <w:t>Speakeasy Record 50 adds literal postage and FMLA-signing excerpts alongside the existing minimum-wage excerpt. All three preserve approved bytes and exact source bounds, remain extraction-unreviewed/acquisition-unknown and are ineligible for conditioning. No personal historical knowledge or ratified choice is invented.</w:t>
      </w:r>
    </w:p>
    <w:p>
      <w:pPr>
        <w:pStyle w:val="Heading1"/>
      </w:pPr>
      <w:r>
        <w:t>Limits and continuation</w:t>
      </w:r>
    </w:p>
    <w:p>
      <w:r>
        <w:t>Sixty-four recent episodes and the existing fourteen-day relation window scaled by personal memory provide the initial recall calibration. Requests retain their original 96-hour expiry. These are implementation bounds, not measured human memory rates. A later appraisal of testimony needs its own acquired personal context. Explicit terms and completed person-to-person exchanges still need the same action/conservation discipline as source storage. Legacy Exchange still credits queued person-to-person legs; that defect belongs to this concrete next repair. DR-044 states the accepted-terms rule rather than certifying those older paths.</w:t>
      </w:r>
    </w:p>
    <w:p>
      <w:r>
        <w:t>Dormant sleep/rest/wake has no producer yet. A person recorded asleep or lacking sleep/hearing evidence cannot acquire these new spoken facts until real access is established; elapsed time does not manufacture waking. ROADMAP assigns that work to the existing physiology/action owner. Radio possession also lacks proof of actual reception for these new facts. Complete house inventories and the remaining R9 producers remain explicit work. No new dormant transfer is claimed.</w:t>
      </w:r>
    </w:p>
    <w:p>
      <w:r>
        <w:t>Preserved decision events, calendar alignment, reviewed extraction, individual acquisition and explicit ratification remain required for eligible Speakeasy examples. Main-menu startup and mechanical checks do not establish loaded-save behavior or operator acceptance. No save is loaded for this batch's verification.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