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C67 - Delivery knowledge</w:t>
      </w:r>
    </w:p>
    <w:tbl>
      <w:tblPr>
        <w:tblStyle w:val="TableGrid"/>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Value</w:t>
            </w:r>
          </w:p>
        </w:tc>
      </w:tr>
      <w:tr>
        <w:tc>
          <w:tcPr>
            <w:tcW w:type="dxa" w:w="4968"/>
          </w:tcPr>
          <w:p>
            <w:r>
              <w:t>Timestamp</w:t>
            </w:r>
          </w:p>
        </w:tc>
        <w:tc>
          <w:tcPr>
            <w:tcW w:type="dxa" w:w="4968"/>
          </w:tcPr>
          <w:p>
            <w:r>
              <w:t>2026-09-21 04:24 UTC / 21:24 PST</w:t>
            </w:r>
          </w:p>
        </w:tc>
      </w:tr>
      <w:tr>
        <w:tc>
          <w:tcPr>
            <w:tcW w:type="dxa" w:w="4968"/>
          </w:tcPr>
          <w:p>
            <w:r>
              <w:t>Target</w:t>
            </w:r>
          </w:p>
        </w:tc>
        <w:tc>
          <w:tcPr>
            <w:tcW w:type="dxa" w:w="4968"/>
          </w:tcPr>
          <w:p>
            <w:r>
              <w:t>SAO performed transfer, personal knowledge, requests and recipient response; Speakeasy factual source excerpts</w:t>
            </w:r>
          </w:p>
        </w:tc>
      </w:tr>
      <w:tr>
        <w:tc>
          <w:tcPr>
            <w:tcW w:type="dxa" w:w="4968"/>
          </w:tcPr>
          <w:p>
            <w:r>
              <w:t>Decision</w:t>
            </w:r>
          </w:p>
        </w:tc>
        <w:tc>
          <w:tcPr>
            <w:tcW w:type="dxa" w:w="4968"/>
          </w:tcPr>
          <w:p>
            <w:r>
              <w:t>DR-044: perceived obligation is personal and separate from accepted trade debt</w:t>
            </w:r>
          </w:p>
        </w:tc>
      </w:tr>
      <w:tr>
        <w:tc>
          <w:tcPr>
            <w:tcW w:type="dxa" w:w="4968"/>
          </w:tcPr>
          <w:p>
            <w:r>
              <w:t>Status</w:t>
            </w:r>
          </w:p>
        </w:tc>
        <w:tc>
          <w:tcPr>
            <w:tcW w:type="dxa" w:w="4968"/>
          </w:tcPr>
          <w:p>
            <w:r>
              <w:t>Implemented and independently reviewed; evidence in README.md</w:t>
            </w:r>
          </w:p>
        </w:tc>
      </w:tr>
    </w:tbl>
    <w:p>
      <w:r>
        <w:t>A completed delivery should enter the actor's experience and the memories of people who could see it. Their later conversations carry testimony with its original event time. A person can respond to observed help according to their own need and relationship; hearing about a transfer does not invent their earlier bodily state or a repayment agreement.</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Contract</w:t>
            </w:r>
          </w:p>
        </w:tc>
        <w:tc>
          <w:tcPr>
            <w:tcW w:type="dxa" w:w="1987"/>
          </w:tcPr>
          <w:p>
            <w:r>
              <w:rPr>
                <w:b/>
              </w:rPr>
              <w:t>Producer</w:t>
            </w:r>
          </w:p>
        </w:tc>
        <w:tc>
          <w:tcPr>
            <w:tcW w:type="dxa" w:w="1987"/>
          </w:tcPr>
          <w:p>
            <w:r>
              <w:rPr>
                <w:b/>
              </w:rPr>
              <w:t>Durable owner</w:t>
            </w:r>
          </w:p>
        </w:tc>
        <w:tc>
          <w:tcPr>
            <w:tcW w:type="dxa" w:w="1987"/>
          </w:tcPr>
          <w:p>
            <w:r>
              <w:rPr>
                <w:b/>
              </w:rPr>
              <w:t>Reader / behavior</w:t>
            </w:r>
          </w:p>
        </w:tc>
        <w:tc>
          <w:tcPr>
            <w:tcW w:type="dxa" w:w="1987"/>
          </w:tcPr>
          <w:p>
            <w:r>
              <w:rPr>
                <w:b/>
              </w:rPr>
              <w:t>Verification</w:t>
            </w:r>
          </w:p>
        </w:tc>
      </w:tr>
      <w:tr>
        <w:tc>
          <w:tcPr>
            <w:tcW w:type="dxa" w:w="1987"/>
          </w:tcPr>
          <w:p>
            <w:r>
              <w:t>Physical transfer</w:t>
            </w:r>
          </w:p>
        </w:tc>
        <w:tc>
          <w:tcPr>
            <w:tcW w:type="dxa" w:w="1987"/>
          </w:tcPr>
          <w:p>
            <w:r>
              <w:t>Verified vanilla transferItem; current native holder proof</w:t>
            </w:r>
          </w:p>
        </w:tc>
        <w:tc>
          <w:tcPr>
            <w:tcW w:type="dxa" w:w="1987"/>
          </w:tcPr>
          <w:p>
            <w:r>
              <w:t>WorldSources reservation, terminal result and native observation</w:t>
            </w:r>
          </w:p>
        </w:tc>
        <w:tc>
          <w:tcPr>
            <w:tcW w:type="dxa" w:w="1987"/>
          </w:tcPr>
          <w:p>
            <w:r>
              <w:t>Provisioning's existing sole consumer</w:t>
            </w:r>
          </w:p>
        </w:tc>
        <w:tc>
          <w:tcPr>
            <w:tcW w:type="dxa" w:w="1987"/>
          </w:tcPr>
          <w:p>
            <w:r>
              <w:t>Border179 production lifecycle and mutations</w:t>
            </w:r>
          </w:p>
        </w:tc>
      </w:tr>
      <w:tr>
        <w:tc>
          <w:tcPr>
            <w:tcW w:type="dxa" w:w="1987"/>
          </w:tcPr>
          <w:p>
            <w:r>
              <w:t>Witness acquisition</w:t>
            </w:r>
          </w:p>
        </w:tc>
        <w:tc>
          <w:tcPr>
            <w:tcW w:type="dxa" w:w="1987"/>
          </w:tcPr>
          <w:p>
            <w:r>
              <w:t>Native actor and holder visibility at mutation; explicit awake state</w:t>
            </w:r>
          </w:p>
        </w:tc>
        <w:tc>
          <w:tcPr>
            <w:tcW w:type="dxa" w:w="1987"/>
          </w:tcPr>
          <w:p>
            <w:r>
              <w:t>Frozen transferObservation time, position, actor, witness IDs</w:t>
            </w:r>
          </w:p>
        </w:tc>
        <w:tc>
          <w:tcPr>
            <w:tcW w:type="dxa" w:w="1987"/>
          </w:tcPr>
          <w:p>
            <w:r>
              <w:t>Private Perception episodes</w:t>
            </w:r>
          </w:p>
        </w:tc>
        <w:tc>
          <w:tcPr>
            <w:tcW w:type="dxa" w:w="1987"/>
          </w:tcPr>
          <w:p>
            <w:r>
              <w:t>Border176 physical probes; Border179 late/reload witness controls</w:t>
            </w:r>
          </w:p>
        </w:tc>
      </w:tr>
      <w:tr>
        <w:tc>
          <w:tcPr>
            <w:tcW w:type="dxa" w:w="1987"/>
          </w:tcPr>
          <w:p>
            <w:r>
              <w:t>Private facts</w:t>
            </w:r>
          </w:p>
        </w:tc>
        <w:tc>
          <w:tcPr>
            <w:tcW w:type="dxa" w:w="1987"/>
          </w:tcPr>
          <w:p>
            <w:r>
              <w:t>Proved native observation retained even after later action conflict</w:t>
            </w:r>
          </w:p>
        </w:tc>
        <w:tc>
          <w:tcPr>
            <w:tcW w:type="dxa" w:w="1987"/>
          </w:tcPr>
          <w:p>
            <w:r>
              <w:t>SurvivorAwareness_Beliefs</w:t>
            </w:r>
          </w:p>
        </w:tc>
        <w:tc>
          <w:tcPr>
            <w:tcW w:type="dxa" w:w="1987"/>
          </w:tcPr>
          <w:p>
            <w:r>
              <w:t>Knowledge food/water topics; detached readers</w:t>
            </w:r>
          </w:p>
        </w:tc>
        <w:tc>
          <w:tcPr>
            <w:tcW w:type="dxa" w:w="1987"/>
          </w:tcPr>
          <w:p>
            <w:r>
              <w:t>Border180 production private-knowledge cases</w:t>
            </w:r>
          </w:p>
        </w:tc>
      </w:tr>
      <w:tr>
        <w:tc>
          <w:tcPr>
            <w:tcW w:type="dxa" w:w="1987"/>
          </w:tcPr>
          <w:p>
            <w:r>
              <w:t>Testimony</w:t>
            </w:r>
          </w:p>
        </w:tc>
        <w:tc>
          <w:tcPr>
            <w:tcW w:type="dxa" w:w="1987"/>
          </w:tcPr>
          <w:p>
            <w:r>
              <w:t>Admitted loaded speech or adjacent dormant encounter; listener skepticism</w:t>
            </w:r>
          </w:p>
        </w:tc>
        <w:tc>
          <w:tcPr>
            <w:tcW w:type="dxa" w:w="1987"/>
          </w:tcPr>
          <w:p>
            <w:r>
              <w:t>Recipient's private episode with teller and original source</w:t>
            </w:r>
          </w:p>
        </w:tc>
        <w:tc>
          <w:tcPr>
            <w:tcW w:type="dxa" w:w="1987"/>
          </w:tcPr>
          <w:p>
            <w:r>
              <w:t>tell, reportReturn and future decisions</w:t>
            </w:r>
          </w:p>
        </w:tc>
        <w:tc>
          <w:tcPr>
            <w:tcW w:type="dxa" w:w="1987"/>
          </w:tcPr>
          <w:p>
            <w:r>
              <w:t>Border180 channel, age, cycles, retention controls</w:t>
            </w:r>
          </w:p>
        </w:tc>
      </w:tr>
      <w:tr>
        <w:tc>
          <w:tcPr>
            <w:tcW w:type="dxa" w:w="1987"/>
          </w:tcPr>
          <w:p>
            <w:r>
              <w:t>Requests</w:t>
            </w:r>
          </w:p>
        </w:tc>
        <w:tc>
          <w:tcPr>
            <w:tcW w:type="dxa" w:w="1987"/>
          </w:tcPr>
          <w:p>
            <w:r>
              <w:t>Actual quartermaster request; admitted testimony</w:t>
            </w:r>
          </w:p>
        </w:tc>
        <w:tc>
          <w:tcPr>
            <w:tcW w:type="dxa" w:w="1987"/>
          </w:tcPr>
          <w:p>
            <w:r>
              <w:t>Person-private request and original request time</w:t>
            </w:r>
          </w:p>
        </w:tc>
        <w:tc>
          <w:tcPr>
            <w:tcW w:type="dxa" w:w="1987"/>
          </w:tcPr>
          <w:p>
            <w:r>
              <w:t>Carrier selects a known request and private destination</w:t>
            </w:r>
          </w:p>
        </w:tc>
        <w:tc>
          <w:tcPr>
            <w:tcW w:type="dxa" w:w="1987"/>
          </w:tcPr>
          <w:p>
            <w:r>
              <w:t>Border180 production integration and controller anchors</w:t>
            </w:r>
          </w:p>
        </w:tc>
      </w:tr>
      <w:tr>
        <w:tc>
          <w:tcPr>
            <w:tcW w:type="dxa" w:w="1987"/>
          </w:tcPr>
          <w:p>
            <w:r>
              <w:t>Personal response</w:t>
            </w:r>
          </w:p>
        </w:tc>
        <w:tc>
          <w:tcPr>
            <w:tcW w:type="dxa" w:w="1987"/>
          </w:tcPr>
          <w:p>
            <w:r>
              <w:t>Witness's own category need, own held ground, disposition and trust</w:t>
            </w:r>
          </w:p>
        </w:tc>
        <w:tc>
          <w:tcPr>
            <w:tcW w:type="dxa" w:w="1987"/>
          </w:tcPr>
          <w:p>
            <w:r>
              <w:t>That witness's private appraisal</w:t>
            </w:r>
          </w:p>
        </w:tc>
        <w:tc>
          <w:tcPr>
            <w:tcW w:type="dxa" w:w="1987"/>
          </w:tcPr>
          <w:p>
            <w:r>
              <w:t>Existing charity willingness toward the benefactor</w:t>
            </w:r>
          </w:p>
        </w:tc>
        <w:tc>
          <w:tcPr>
            <w:tcW w:type="dxa" w:w="1987"/>
          </w:tcPr>
          <w:p>
            <w:r>
              <w:t>Production Disposition/Perception checks; no debt/trust mutation</w:t>
            </w:r>
          </w:p>
        </w:tc>
      </w:tr>
      <w:tr>
        <w:tc>
          <w:tcPr>
            <w:tcW w:type="dxa" w:w="1987"/>
          </w:tcPr>
          <w:p>
            <w:r>
              <w:t>Historical fact excerpts</w:t>
            </w:r>
          </w:p>
        </w:tc>
        <w:tc>
          <w:tcPr>
            <w:tcW w:type="dxa" w:w="1987"/>
          </w:tcPr>
          <w:p>
            <w:r>
              <w:t>Approved Speakeasy documents and exact literal boundaries</w:t>
            </w:r>
          </w:p>
        </w:tc>
        <w:tc>
          <w:tcPr>
            <w:tcW w:type="dxa" w:w="1987"/>
          </w:tcPr>
          <w:p>
            <w:r>
              <w:t>Existing extraction-example schema</w:t>
            </w:r>
          </w:p>
        </w:tc>
        <w:tc>
          <w:tcPr>
            <w:tcW w:type="dxa" w:w="1987"/>
          </w:tcPr>
          <w:p>
            <w:r>
              <w:t>Production source validator</w:t>
            </w:r>
          </w:p>
        </w:tc>
        <w:tc>
          <w:tcPr>
            <w:tcW w:type="dxa" w:w="1987"/>
          </w:tcPr>
          <w:p>
            <w:r>
              <w:t>Authoring suite; protected byte/hash checks</w:t>
            </w:r>
          </w:p>
        </w:tc>
      </w:tr>
    </w:tbl>
    <w:p>
      <w:r>
        <w:t>The original B23 queue-time debt implementation conflicts with Standing's accepted-exchange debt definition. Mousecat interaction skill-8ef8bacdc2e9a510 returned separate_perceived_obligation. Existing debt requires an agreed exchange. C67's source-transfer path inserts no balance. Legacy person-to-person handovers still credit queued exchange legs and need the completed-handover and accepted-terms repair in ROADMAP.</w:t>
      </w:r>
    </w:p>
    <w:p>
      <w:r>
        <w:t>Private episodes retain at most 64 recent events. Their initial recall window uses Standing's existing fourteen-day relation window, scaled by the person's memory factor. This is an explicit implementation calibration. Event age is never reset by a report; eviction leaves an ordering floor so repeated old reports cannot refill the memory indefinitely.</w:t>
      </w:r>
    </w:p>
    <w:p>
      <w:r>
        <w:t>Native proof, controlled adapter proof, complete repository checks, installed startup, and observed gameplay remain distinct evidence. The selected native transfer does not establish complete house inventory. Speakeasy excerpts do not establish a person's acquisition or an eligible training decision.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