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C130 - Causal simulation and evidence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`C130`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2026-09-18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Causal simulation and evidence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Closed implementation batch; play receipts pending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[`T-007`](THREADS.md#t-007), [`T-008`](THREADS.md#t-008), [`T-009`](THREADS.md#t-009)</w:t>
            </w:r>
          </w:p>
        </w:tc>
      </w:tr>
    </w:tbl>
    <w:p/>
    <w:p>
      <w:pPr>
        <w:pStyle w:val="Heading2"/>
      </w:pPr>
      <w:r>
        <w:t>Record</w:t>
      </w:r>
    </w:p>
    <w:p/>
    <w:p>
      <w:r>
        <w:t>Recovery compared the GLM/Codex and AGY transcripts with local files, installed</w:t>
      </w:r>
    </w:p>
    <w:p>
      <w:r>
        <w:t>files, the remote branches and actual engine execution. Local C126 and the</w:t>
      </w:r>
    </w:p>
    <w:p>
      <w:r>
        <w:t>unmerged C127-C129 proposals carried incomplete or unsupported work. C130</w:t>
      </w:r>
    </w:p>
    <w:p>
      <w:r>
        <w:t>uses the next unused proposal number; C127-C129 are not recorded as closed</w:t>
      </w:r>
    </w:p>
    <w:p>
      <w:r>
        <w:t>units. The original working trees in SAO, ZAO and Speakeasy were copied before</w:t>
      </w:r>
    </w:p>
    <w:p>
      <w:r>
        <w:t>repair, including unfinished changes and the two trajectory rows.</w:t>
      </w:r>
    </w:p>
    <w:p/>
    <w:p>
      <w:r>
        <w:t>The C126 fast path directly assigned survival, deaths, groups, trust,</w:t>
      </w:r>
    </w:p>
    <w:p>
      <w:r>
        <w:t>fortifications and brain-health outcomes. Its constants were not validated</w:t>
      </w:r>
    </w:p>
    <w:p>
      <w:r>
        <w:t>learned parameters. That module and its runtime route are removed. A future</w:t>
      </w:r>
    </w:p>
    <w:p>
      <w:r>
        <w:t>learned accelerator still needs complete causal training data and a separate</w:t>
      </w:r>
    </w:p>
    <w:p>
      <w:r>
        <w:t>test of whether it preserves the ratified model.</w:t>
      </w:r>
    </w:p>
    <w:p/>
    <w:p>
      <w:r>
        <w:t>Catch-up now uses the same 240-tick dormant pass as live population processing.</w:t>
      </w:r>
    </w:p>
    <w:p>
      <w:r>
        <w:t>A day contains 216,000 county ticks. Fractional-day progress and the daily</w:t>
      </w:r>
    </w:p>
    <w:p>
      <w:r>
        <w:t>stamp persist across slices and reload. The existing 60 ms slice budget limits</w:t>
      </w:r>
    </w:p>
    <w:p>
      <w:r>
        <w:t>work between callbacks; one indivisible pass can overrun it. No-clock fallback</w:t>
      </w:r>
    </w:p>
    <w:p>
      <w:r>
        <w:t>executes one pass. The old callback gate stalled after its first slice, and</w:t>
      </w:r>
    </w:p>
    <w:p>
      <w:r>
        <w:t>the old daily jump omitted almost every movement and encounter opportunity.</w:t>
      </w:r>
    </w:p>
    <w:p/>
    <w:p>
      <w:r>
        <w:t>Company admission reads the judging person's experienced contact, preference,</w:t>
      </w:r>
    </w:p>
    <w:p>
      <w:r>
        <w:t>known counterpart and own shortage. A personality label or house area imposes</w:t>
      </w:r>
    </w:p>
    <w:p>
      <w:r>
        <w:t>no membership quota. Outsiders cannot inspect the host's stores. Actual vehicle</w:t>
      </w:r>
    </w:p>
    <w:p>
      <w:r>
        <w:t>seats and work left at home continue to bound a travelling party. The existing</w:t>
      </w:r>
    </w:p>
    <w:p>
      <w:r>
        <w:t>political walkout uses distrust and personal pressure, cleans the departing</w:t>
      </w:r>
    </w:p>
    <w:p>
      <w:r>
        <w:t>member from the election and settles a remaining singleton.</w:t>
      </w:r>
    </w:p>
    <w:p/>
    <w:p>
      <w:r>
        <w:t>The evidence exporter rejects unfinished horizons, empty populations, absent</w:t>
      </w:r>
    </w:p>
    <w:p>
      <w:r>
        <w:t>modules and protected-call failures. Samples carry engine, source, settings,</w:t>
      </w:r>
    </w:p>
    <w:p>
      <w:r>
        <w:t>seed and completion provenance, demographic snapshots, death causes and company</w:t>
      </w:r>
    </w:p>
    <w:p>
      <w:r>
        <w:t>events. Joint samples load the real ZAO pathogen modules; ZAO A34 verifies its</w:t>
      </w:r>
    </w:p>
    <w:p>
      <w:r>
        <w:t>previously unfinished VM correction. The evidence host describes unloaded</w:t>
      </w:r>
    </w:p>
    <w:p>
      <w:r>
        <w:t>ground as unavailable and reads the installed cell span. Historical decision</w:t>
      </w:r>
    </w:p>
    <w:p>
      <w:r>
        <w:t>dump behavior remains separate from this evidence host.</w:t>
      </w:r>
    </w:p>
    <w:p/>
    <w:p>
      <w:r>
        <w:t>C125's neuroinflammation option also contained `false or true`, making its</w:t>
      </w:r>
    </w:p>
    <w:p>
      <w:r>
        <w:t>off setting ineffective. The boolean read is repaired. Border 158 now runs</w:t>
      </w:r>
    </w:p>
    <w:p>
      <w:r>
        <w:t>the actual module with omitted, disabled and enabled settings, cognition</w:t>
      </w:r>
    </w:p>
    <w:p>
      <w:r>
        <w:t>projections and advancement; its original-code control fails by name. This</w:t>
      </w:r>
    </w:p>
    <w:p>
      <w:r>
        <w:t>closes the switch defect without claiming the authored kinetics or baselines</w:t>
      </w:r>
    </w:p>
    <w:p>
      <w:r>
        <w:t>are a validated biological model.</w:t>
      </w:r>
    </w:p>
    <w:p/>
    <w:p>
      <w:r>
        <w:t>Company history is reconciled at real mutation boundaries, including direct</w:t>
      </w:r>
    </w:p>
    <w:p>
      <w:r>
        <w:t>election departures, widow release and schism. Joining an existing company</w:t>
      </w:r>
    </w:p>
    <w:p>
      <w:r>
        <w:t>preserves its founding time. The evidence calendar uses exact Gregorian dates.</w:t>
      </w:r>
    </w:p>
    <w:p>
      <w:r>
        <w:t>Each horizon is independently initialized; the actual seed includes the target</w:t>
      </w:r>
    </w:p>
    <w:p>
      <w:r>
        <w:t>start date, and production birth-year semantics remain a stated limitation.</w:t>
      </w:r>
    </w:p>
    <w:p>
      <w:r>
        <w:t>These samples cannot be presented as one longitudinal cohort.</w:t>
      </w:r>
    </w:p>
    <w:p/>
    <w:p>
      <w:pPr>
        <w:pStyle w:val="Heading2"/>
      </w:pPr>
      <w:r>
        <w:t>Verification</w:t>
      </w:r>
    </w:p>
    <w:p/>
    <w:p>
      <w:r>
        <w:t>Border 159 now exercises exporter refusal and a mutated completion guard.</w:t>
      </w:r>
    </w:p>
    <w:p>
      <w:r>
        <w:t>Border 160 executes the real scheduler for 90 and 365 days, slice/reload and</w:t>
      </w:r>
    </w:p>
    <w:p>
      <w:r>
        <w:t>legacy-day migration; the original C126 callback gate fails the same probe.</w:t>
      </w:r>
    </w:p>
    <w:p>
      <w:r>
        <w:t>Border 161 executes admission and departure in the real VM with causal controls.</w:t>
      </w:r>
    </w:p>
    <w:p>
      <w:r>
        <w:t>Borders 118, 131 and 153 are aligned with fractional history and an explicitly</w:t>
      </w:r>
    </w:p>
    <w:p>
      <w:r>
        <w:t>completed live-clock fixture. Independent runtime, social and pathogen review</w:t>
      </w:r>
    </w:p>
    <w:p>
      <w:r>
        <w:t>corrections are integrated. The full native Git Bash gate passes with the</w:t>
      </w:r>
    </w:p>
    <w:p>
      <w:r>
        <w:t>installed engine and JDK: 67 Lua structural checks, 161 numbered borders and</w:t>
      </w:r>
    </w:p>
    <w:p>
      <w:r>
        <w:t>176 gated instruments, with no skips. The final validator observed unchanged</w:t>
      </w:r>
    </w:p>
    <w:p>
      <w:r>
        <w:t>hashes for all 308 runtime/tool files throughout that run. Border 161 covers</w:t>
      </w:r>
    </w:p>
    <w:p>
      <w:r>
        <w:t>41 actual-VM behaviors and nine negative controls. The Java jar is rebuilt.</w:t>
      </w:r>
    </w:p>
    <w:p/>
    <w:p>
      <w:r>
        <w:t>The accepted joint samples use the same final source hashes and a governed</w:t>
      </w:r>
    </w:p>
    <w:p>
      <w:r>
        <w:t>population target of 12. Receipts and reproduction instructions are in</w:t>
      </w:r>
    </w:p>
    <w:p>
      <w:r>
        <w:t>[`tools/sweep/receipts/README.md`](../tools/sweep/receipts/README.md).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Independent horizon</w:t>
            </w:r>
          </w:p>
        </w:tc>
        <w:tc>
          <w:tcPr>
            <w:tcW w:type="dxa" w:w="1728"/>
          </w:tcPr>
          <w:p>
            <w:r>
              <w:t>Completed ticks</w:t>
            </w:r>
          </w:p>
        </w:tc>
        <w:tc>
          <w:tcPr>
            <w:tcW w:type="dxa" w:w="1728"/>
          </w:tcPr>
          <w:p>
            <w:r>
              <w:t>Records / living / dead</w:t>
            </w:r>
          </w:p>
        </w:tc>
        <w:tc>
          <w:tcPr>
            <w:tcW w:type="dxa" w:w="1728"/>
          </w:tcPr>
          <w:p>
            <w:r>
              <w:t>Companies at end</w:t>
            </w:r>
          </w:p>
        </w:tc>
        <w:tc>
          <w:tcPr>
            <w:tcW w:type="dxa" w:w="1728"/>
          </w:tcPr>
          <w:p>
            <w:r>
              <w:t>VM wall time</w:t>
            </w:r>
          </w:p>
        </w:tc>
      </w:tr>
      <w:tr>
        <w:tc>
          <w:tcPr>
            <w:tcW w:type="dxa" w:w="1728"/>
          </w:tcPr>
          <w:p>
            <w:r>
              <w:t>90 days</w:t>
            </w:r>
          </w:p>
        </w:tc>
        <w:tc>
          <w:tcPr>
            <w:tcW w:type="dxa" w:w="1728"/>
          </w:tcPr>
          <w:p>
            <w:r>
              <w:t>19,440,000</w:t>
            </w:r>
          </w:p>
        </w:tc>
        <w:tc>
          <w:tcPr>
            <w:tcW w:type="dxa" w:w="1728"/>
          </w:tcPr>
          <w:p>
            <w:r>
              <w:t>27 / 12 / 15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102.65 s</w:t>
            </w:r>
          </w:p>
        </w:tc>
      </w:tr>
      <w:tr>
        <w:tc>
          <w:tcPr>
            <w:tcW w:type="dxa" w:w="1728"/>
          </w:tcPr>
          <w:p>
            <w:r>
              <w:t>365 days</w:t>
            </w:r>
          </w:p>
        </w:tc>
        <w:tc>
          <w:tcPr>
            <w:tcW w:type="dxa" w:w="1728"/>
          </w:tcPr>
          <w:p>
            <w:r>
              <w:t>78,840,000</w:t>
            </w:r>
          </w:p>
        </w:tc>
        <w:tc>
          <w:tcPr>
            <w:tcW w:type="dxa" w:w="1728"/>
          </w:tcPr>
          <w:p>
            <w:r>
              <w:t>72 / 12 / 60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209.71 s</w:t>
            </w:r>
          </w:p>
        </w:tc>
      </w:tr>
    </w:tbl>
    <w:p/>
    <w:p>
      <w:r>
        <w:t>Both record zero protected-call faults. These are open populations: existing</w:t>
      </w:r>
    </w:p>
    <w:p>
      <w:r>
        <w:t>newcomer/refill rules replace losses, so 12 living is not 100 percent survival.</w:t>
      </w:r>
    </w:p>
    <w:p>
      <w:r>
        <w:t>Deaths in the 90-day sample are 11 county attrition and 4 zombie deaths; the</w:t>
      </w:r>
    </w:p>
    <w:p>
      <w:r>
        <w:t>365-day sample records 33 and 27 respectively. Company founding periods number</w:t>
      </w:r>
    </w:p>
    <w:p>
      <w:r>
        <w:t>11 and 15, with 7 and 13 ending events. An identifier can reform, so event</w:t>
      </w:r>
    </w:p>
    <w:p>
      <w:r>
        <w:t>counts are distinct from unique companies. The largest observed company sizes</w:t>
      </w:r>
    </w:p>
    <w:p>
      <w:r>
        <w:t>are 4 and 3; these are observations, not target sizes.</w:t>
      </w:r>
    </w:p>
    <w:p/>
    <w:p>
      <w:r>
        <w:t>A separate seven-day, target-500 run exceeded its 600-second bound. It was</w:t>
      </w:r>
    </w:p>
    <w:p>
      <w:r>
        <w:t>refused and exported no receipt. The timings above measure this offline host</w:t>
      </w:r>
    </w:p>
    <w:p>
      <w:r>
        <w:t>on this machine, not save-loading latency or evidence that scale is solved.</w:t>
      </w:r>
    </w:p>
    <w:p>
      <w:r>
        <w:t>ZAO state classifications can overlap SAO dead records because the loaded-body</w:t>
      </w:r>
    </w:p>
    <w:p>
      <w:r>
        <w:t>return seam is unavailable. They are not additional living people.</w:t>
      </w:r>
    </w:p>
    <w:p/>
    <w:p>
      <w:r>
        <w:t>Border 54 intermittently refused during full verification. Its wrapper had</w:t>
      </w:r>
    </w:p>
    <w:p>
      <w:r>
        <w:t>discarded the first diagnostic and rerun the instrument; a clean replay could</w:t>
      </w:r>
    </w:p>
    <w:p>
      <w:r>
        <w:t>therefore hide the reason for the original refusal. The wrapper now preserves</w:t>
      </w:r>
    </w:p>
    <w:p>
      <w:r>
        <w:t>the first invocation's output. The underlying intermittent cause remains open</w:t>
      </w:r>
    </w:p>
    <w:p>
      <w:r>
        <w:t>unless reproduced with that diagnostic.</w:t>
      </w:r>
    </w:p>
    <w:p/>
    <w:p>
      <w:pPr>
        <w:pStyle w:val="Heading2"/>
      </w:pPr>
      <w:r>
        <w:t>Deployment</w:t>
      </w:r>
    </w:p>
    <w:p/>
    <w:p>
      <w:r>
        <w:t>The prescribed scripts deployed SAO and ZAO on 2026-09-18 after their complete</w:t>
      </w:r>
    </w:p>
    <w:p>
      <w:r>
        <w:t>gates passed. All 249 installed SAO files and 27 installed ZAO files match</w:t>
      </w:r>
    </w:p>
    <w:p>
      <w:r>
        <w:t>their source packages, with no extras. SAO's root license and credits are</w:t>
      </w:r>
    </w:p>
    <w:p>
      <w:r>
        <w:t>included. Its distribution, shipped and installed jars share SHA-256</w:t>
      </w:r>
    </w:p>
    <w:p>
      <w:r>
        <w:t>`0abe4198166835b5f95f22215c4689dd9f3a787d03fdeccfe1e4285e112ac9be`.</w:t>
      </w:r>
    </w:p>
    <w:p>
      <w:r>
        <w:t>The existing deployment approval workflow registered that jar. Previous</w:t>
      </w:r>
    </w:p>
    <w:p>
      <w:r>
        <w:t>installed trees were backed up; saves were untouched. ZAO A34 is published</w:t>
      </w:r>
    </w:p>
    <w:p>
      <w:r>
        <w:t>through [PR 22](https://github.com/ellyj3rain/zao/pull/22).</w:t>
      </w:r>
    </w:p>
    <w:p/>
    <w:p>
      <w:pPr>
        <w:pStyle w:val="Heading2"/>
      </w:pPr>
      <w:r>
        <w:t>Evidence limits and remaining work</w:t>
      </w:r>
    </w:p>
    <w:p/>
    <w:p>
      <w:r>
        <w:t>The old 90-day dataset row completed only 60 days and is unsuitable training</w:t>
      </w:r>
    </w:p>
    <w:p>
      <w:r>
        <w:t>evidence. The prior multi-year timing and full-fidelity claims are withdrawn.</w:t>
      </w:r>
    </w:p>
    <w:p>
      <w:r>
        <w:t>No model is trained or fitted here; Speakeasy's preserved rows are not overwritten.</w:t>
      </w:r>
    </w:p>
    <w:p>
      <w:r>
        <w:t>Offline VM samples cannot establish loaded terrain, body behavior or play quality.</w:t>
      </w:r>
    </w:p>
    <w:p/>
    <w:p>
      <w:r>
        <w:t>The broader continuation still includes the crossed doctrine/diversion/capture/</w:t>
      </w:r>
    </w:p>
    <w:p>
      <w:r>
        <w:t>diet and living response, the integration/off-switch inventory, C125's authored</w:t>
      </w:r>
    </w:p>
    <w:p>
      <w:r>
        <w:t>neuroinflammation baselines, and the unobserved C116-C124 runtime surfaces.</w:t>
      </w:r>
    </w:p>
    <w:p>
      <w:r>
        <w:t>Speech cognition training and a loaded-game inference budget remain unfinished.</w:t>
      </w:r>
    </w:p>
    <w:p>
      <w:r>
        <w:t>Existing ratified decisions stay settled; no new playtesting prerequisite is added.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