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C13 - Conditions habits and strain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C13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2026-09-06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C13–C13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minor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Added durable conditions, habits and moment-specific strain as person state. These inputs are intended to condition behavior and expression rather than assign successful outcomes. Later drug and brain-health integrations expose unresolved ownership and update-cadence defects.</w:t>
      </w:r>
    </w:p>
    <w:p/>
    <w:p>
      <w:pPr>
        <w:pStyle w:val="Heading2"/>
      </w:pPr>
      <w:r>
        <w:t>Chronological product boundary</w:t>
      </w:r>
    </w:p>
    <w:p/>
    <w:p>
      <w:r>
        <w:t>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r>
        <w:t>Preserves the earlier product-tier classification: 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20260919-through-C120:C13 — Conditions habits and strain</w:t>
            </w:r>
          </w:p>
        </w:tc>
        <w:tc>
          <w:tcPr>
            <w:tcW w:type="dxa" w:w="2880"/>
          </w:tcPr>
          <w:p>
            <w:r>
              <w:t>[Source record](../../Batches/history/c-20261003-source/Batches/C13-2026-09-06-conditions-habits-and-strain.md)</w:t>
            </w:r>
          </w:p>
        </w:tc>
        <w:tc>
          <w:tcPr>
            <w:tcW w:type="dxa" w:w="2880"/>
          </w:tcPr>
          <w:p>
            <w:r>
              <w:t>4bfadba8b1d3ba3cfc66597d271e87a392e447b380ec0d024b01906a6323f656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20260919-through-C120:C13 — Conditions habits and strain</w:t>
      </w:r>
    </w:p>
    <w:p/>
    <w:p>
      <w:r>
        <w:t>&gt; Added durable conditions, habits and moment-specific strain as person state. These inputs are intended to condition behavior and expression rather than assign successful outcomes. Later drug and brain-health integrations expose unresolved ownership and update-cadence defects.</w:t>
      </w:r>
    </w:p>
    <w:p/>
    <w:p>
      <w:r>
        <w:t>**Implementation:** partial historical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Consolidated historical record; implementation limitations remain explicit.</w:t>
      </w:r>
    </w:p>
    <w:p/>
    <w:p>
      <w:r>
        <w:t>**Remaining scope retained from the source:**</w:t>
      </w:r>
    </w:p>
    <w:p/>
    <w:p>
      <w:pPr>
        <w:pStyle w:val="ListBullet"/>
      </w:pPr>
      <w:r>
        <w:t>C47/C49 defects and C56 corrections determine cadence/owner acceptance.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