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C14 - Physical gestures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C14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2026-09-07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C14–C14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Introduced physical gestures through the engine action surface. Gestures render a chosen interaction and remain subject to action-queue ownership, interruption and completion. Later care composition demonstrates why successful queueing is insufficient evidence of a completed interaction.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20260919-through-C120:C14 — Physical gestures</w:t>
            </w:r>
          </w:p>
        </w:tc>
        <w:tc>
          <w:tcPr>
            <w:tcW w:type="dxa" w:w="2880"/>
          </w:tcPr>
          <w:p>
            <w:r>
              <w:t>[Source record](../../Batches/history/c-20261003-source/Batches/C14-2026-09-07-physical-gestures.md)</w:t>
            </w:r>
          </w:p>
        </w:tc>
        <w:tc>
          <w:tcPr>
            <w:tcW w:type="dxa" w:w="2880"/>
          </w:tcPr>
          <w:p>
            <w:r>
              <w:t>93776be00ac5a69f38109c0f9e440beaad9d623fe02006b385cfd9a65fddd59c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20260919-through-C120:C14 — Physical gestures</w:t>
      </w:r>
    </w:p>
    <w:p/>
    <w:p>
      <w:r>
        <w:t>&gt; Introduced physical gestures through the engine action surface. Gestures render a chosen interaction and remain subject to action-queue ownership, interruption and completion. Later care composition demonstrates why successful queueing is insufficient evidence of a completed interaction.</w:t>
      </w:r>
    </w:p>
    <w:p/>
    <w:p>
      <w:r>
        <w:t>**Implementation:** completed scoped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Queued gesture is not completed care; C45 requires domain effect evidence.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