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C15 - Historical record calendar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C15–C15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Placed the historical record on the county calendar so claims and events use the intended temporal context. This corrects the record surface; shared elapsed time and historical stepping were subsequently repaired in their own units.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20260919-through-C120:C15 — Historical record calendar</w:t>
            </w:r>
          </w:p>
        </w:tc>
        <w:tc>
          <w:tcPr>
            <w:tcW w:type="dxa" w:w="2880"/>
          </w:tcPr>
          <w:p>
            <w:r>
              <w:t>[Source record](../../Batches/history/c-20261003-source/Batches/C15-2026-09-07-historical-record-calendar.md)</w:t>
            </w:r>
          </w:p>
        </w:tc>
        <w:tc>
          <w:tcPr>
            <w:tcW w:type="dxa" w:w="2880"/>
          </w:tcPr>
          <w:p>
            <w:r>
              <w:t>aaf3cf1a870058152c6934d96e3ec61c0a0cf71db4f3836801b5d7d1ed49a383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20260919-through-C120:C15 — Historical record calendar</w:t>
      </w:r>
    </w:p>
    <w:p/>
    <w:p>
      <w:r>
        <w:t>&gt; Placed the historical record on the county calendar so claims and events use the intended temporal context. This corrects the record surface; shared elapsed time and historical stepping were subsequently repaired in their own units.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C26/C53 later establish elapsed stepping and explicit units.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