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C17 - Remembered era and owned condition state</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C17</w:t>
            </w:r>
          </w:p>
        </w:tc>
      </w:tr>
      <w:tr>
        <w:tc>
          <w:tcPr>
            <w:tcW w:type="dxa" w:w="4320"/>
          </w:tcPr>
          <w:p>
            <w:r>
              <w:t>Date</w:t>
            </w:r>
          </w:p>
        </w:tc>
        <w:tc>
          <w:tcPr>
            <w:tcW w:type="dxa" w:w="4320"/>
          </w:tcPr>
          <w:p>
            <w:r>
              <w:t>2026-09-07</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C17–C17</w:t>
            </w:r>
          </w:p>
        </w:tc>
      </w:tr>
      <w:tr>
        <w:tc>
          <w:tcPr>
            <w:tcW w:type="dxa" w:w="4320"/>
          </w:tcPr>
          <w:p>
            <w:r>
              <w:t>Tier</w:t>
            </w:r>
          </w:p>
        </w:tc>
        <w:tc>
          <w:tcPr>
            <w:tcW w:type="dxa" w:w="4320"/>
          </w:tcPr>
          <w:p>
            <w:r>
              <w:t>kohai</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Connected remembered era and condition information to SAO-owned person state and removed accidental dependence on external mods for the county to stand on its own. Optional integrations supply inputs while the project retains responsibility for the person record.</w:t>
      </w:r>
    </w:p>
    <w:p/>
    <w:p>
      <w:pPr>
        <w:pStyle w:val="Heading2"/>
      </w:pPr>
      <w:r>
        <w:t>Chronological product boundary</w:t>
      </w:r>
    </w:p>
    <w:p/>
    <w:p>
      <w:r>
        <w:t>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20260919-through-C120:C17 — Remembered era and owned condition state</w:t>
            </w:r>
          </w:p>
        </w:tc>
        <w:tc>
          <w:tcPr>
            <w:tcW w:type="dxa" w:w="2880"/>
          </w:tcPr>
          <w:p>
            <w:r>
              <w:t>[Source record](../../Batches/history/c-20261003-source/Batches/C17-2026-09-07-remembered-era-and-owned-condition-state.md)</w:t>
            </w:r>
          </w:p>
        </w:tc>
        <w:tc>
          <w:tcPr>
            <w:tcW w:type="dxa" w:w="2880"/>
          </w:tcPr>
          <w:p>
            <w:r>
              <w:t>dea3b51f51b9fa0c92a2141d1cb9aed6b88ded7a9c4947c18e46b2e16cbe8193</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20260919-through-C120:C17 — Remembered era and owned condition state</w:t>
      </w:r>
    </w:p>
    <w:p/>
    <w:p>
      <w:r>
        <w:t>&gt; Connected remembered era and condition information to SAO-owned person state and removed accidental dependence on external mods for the county to stand on its own. Optional integrations supply inputs while the project retains responsibility for the person record.</w:t>
      </w:r>
    </w:p>
    <w:p/>
    <w:p>
      <w:r>
        <w:t>**Implementation:** completed scoped</w:t>
      </w:r>
    </w:p>
    <w:p/>
    <w:p>
      <w:r>
        <w:t>**Verification:** source-scoped evidence and limits retained in archived record</w:t>
      </w:r>
    </w:p>
    <w:p/>
    <w:p>
      <w:r>
        <w:t>**Publication:** committed-at-source-head</w:t>
      </w:r>
    </w:p>
    <w:p/>
    <w:p>
      <w:r>
        <w:t>**Original standing:** Consolidated historical record; implementation limitations remain explicit.</w:t>
      </w:r>
    </w:p>
    <w:p/>
    <w:p>
      <w:r>
        <w:t>**Remaining scope retained from the source:**</w:t>
      </w:r>
    </w:p>
    <w:p/>
    <w:p>
      <w:pPr>
        <w:pStyle w:val="ListBullet"/>
      </w:pPr>
      <w:r>
        <w:t>Optional integration cannot manufacture memory or replace authoritative pathogen state.</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