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C25 - Player depletion of places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C25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C25–C25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Connected player looting to the depletion state used by the county. Resource availability must reflect world changes produced outside the NPC controller as well as the survivor's own actions.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20260919-through-C120:C25 — Player depletion of places</w:t>
            </w:r>
          </w:p>
        </w:tc>
        <w:tc>
          <w:tcPr>
            <w:tcW w:type="dxa" w:w="2880"/>
          </w:tcPr>
          <w:p>
            <w:r>
              <w:t>[Source record](../../Batches/history/c-20261003-source/Batches/C25-2026-09-08-player-depletion-of-places.md)</w:t>
            </w:r>
          </w:p>
        </w:tc>
        <w:tc>
          <w:tcPr>
            <w:tcW w:type="dxa" w:w="2880"/>
          </w:tcPr>
          <w:p>
            <w:r>
              <w:t>5367a66687cca2a6120a31dfb6775ddd7790708cb3a63e1492e5146a4456fabf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20260919-through-C120:C25 — Player depletion of places</w:t>
      </w:r>
    </w:p>
    <w:p/>
    <w:p>
      <w:r>
        <w:t>&gt; Connected player looting to the depletion state used by the county. Resource availability must reflect world changes produced outside the NPC controller as well as the survivor's own actions.</w:t>
      </w:r>
    </w:p>
    <w:p/>
    <w:p>
      <w:r>
        <w:t>**Implementation:** completed scoped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Source revisions must reconcile all producers; room/place labels are not stock.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