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C30 - Infection course and clinical observation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C30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C32–C32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the person's infection response, dormant infection exposure and examiner-dependent clinical observation. The course and its observations carry their own clocks and evidence. Later brain-health integration requires reconciliation with this existing mechanism and ZAO's authoritative pathogen state.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20260919-through-C120:C32 — Infection course and clinical observation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record](../../Batches/history/c-20261003-source/Batches/C32-2026-09-09-infection-course-and-clinical-observation.md)</w:t>
            </w:r>
          </w:p>
        </w:tc>
        <w:tc>
          <w:tcPr>
            <w:tcW w:type="dxa" w:w="2880"/>
          </w:tcPr>
          <w:p>
            <w:r>
              <w:t>0b194b12933e80e5b95770644979c950a0dcfc790044c2cea6de613421ddcc42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20260919-through-C120:C32 — Infection course and clinical observation</w:t>
      </w:r>
    </w:p>
    <w:p/>
    <w:p>
      <w:r>
        <w:t>&gt; Added the person's infection response, dormant infection exposure and examiner-dependent clinical observation. The course and its observations carry their own clocks and evidence. Later brain-health integration requires reconciliation with this existing mechanism and ZAO's authoritative pathogen state.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C56 reconciles ZAO truth and removes proximity exposure; diagnosis remains private interpretation.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