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C35 - Pathogen data and recognition integration</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Product record</w:t>
            </w:r>
          </w:p>
        </w:tc>
      </w:tr>
      <w:tr>
        <w:tc>
          <w:tcPr>
            <w:tcW w:type="dxa" w:w="4320"/>
          </w:tcPr>
          <w:p>
            <w:r>
              <w:t>Batch</w:t>
            </w:r>
          </w:p>
        </w:tc>
        <w:tc>
          <w:tcPr>
            <w:tcW w:type="dxa" w:w="4320"/>
          </w:tcPr>
          <w:p>
            <w:r>
              <w:t>C35</w:t>
            </w:r>
          </w:p>
        </w:tc>
      </w:tr>
      <w:tr>
        <w:tc>
          <w:tcPr>
            <w:tcW w:type="dxa" w:w="4320"/>
          </w:tcPr>
          <w:p>
            <w:r>
              <w:t>Date</w:t>
            </w:r>
          </w:p>
        </w:tc>
        <w:tc>
          <w:tcPr>
            <w:tcW w:type="dxa" w:w="4320"/>
          </w:tcPr>
          <w:p>
            <w:r>
              <w:t>2026-09-12</w:t>
            </w:r>
          </w:p>
        </w:tc>
      </w:tr>
      <w:tr>
        <w:tc>
          <w:tcPr>
            <w:tcW w:type="dxa" w:w="4320"/>
          </w:tcPr>
          <w:p>
            <w:r>
              <w:t>Generation</w:t>
            </w:r>
          </w:p>
        </w:tc>
        <w:tc>
          <w:tcPr>
            <w:tcW w:type="dxa" w:w="4320"/>
          </w:tcPr>
          <w:p>
            <w:r>
              <w:t>20261005-product-consolidation</w:t>
            </w:r>
          </w:p>
        </w:tc>
      </w:tr>
      <w:tr>
        <w:tc>
          <w:tcPr>
            <w:tcW w:type="dxa" w:w="4320"/>
          </w:tcPr>
          <w:p>
            <w:r>
              <w:t>Source generation</w:t>
            </w:r>
          </w:p>
        </w:tc>
        <w:tc>
          <w:tcPr>
            <w:tcW w:type="dxa" w:w="4320"/>
          </w:tcPr>
          <w:p>
            <w:r>
              <w:t>20260919-through-C120</w:t>
            </w:r>
          </w:p>
        </w:tc>
      </w:tr>
      <w:tr>
        <w:tc>
          <w:tcPr>
            <w:tcW w:type="dxa" w:w="4320"/>
          </w:tcPr>
          <w:p>
            <w:r>
              <w:t>Source range</w:t>
            </w:r>
          </w:p>
        </w:tc>
        <w:tc>
          <w:tcPr>
            <w:tcW w:type="dxa" w:w="4320"/>
          </w:tcPr>
          <w:p>
            <w:r>
              <w:t>C37–C37</w:t>
            </w:r>
          </w:p>
        </w:tc>
      </w:tr>
      <w:tr>
        <w:tc>
          <w:tcPr>
            <w:tcW w:type="dxa" w:w="4320"/>
          </w:tcPr>
          <w:p>
            <w:r>
              <w:t>Tier</w:t>
            </w:r>
          </w:p>
        </w:tc>
        <w:tc>
          <w:tcPr>
            <w:tcW w:type="dxa" w:w="4320"/>
          </w:tcPr>
          <w:p>
            <w:r>
              <w:t>kohai</w:t>
            </w:r>
          </w:p>
        </w:tc>
      </w:tr>
      <w:tr>
        <w:tc>
          <w:tcPr>
            <w:tcW w:type="dxa" w:w="4320"/>
          </w:tcPr>
          <w:p>
            <w:r>
              <w:t>Standing</w:t>
            </w:r>
          </w:p>
        </w:tc>
        <w:tc>
          <w:tcPr>
            <w:tcW w:type="dxa" w:w="4320"/>
          </w:tcPr>
          <w:p>
            <w:r>
              <w:t>Historical product synthesis; each component retains its exact implementation, verification, publication and remaining scope.</w:t>
            </w:r>
          </w:p>
        </w:tc>
      </w:tr>
    </w:tbl>
    <w:p/>
    <w:p>
      <w:pPr>
        <w:pStyle w:val="Heading2"/>
      </w:pPr>
      <w:r>
        <w:t>Product outcome</w:t>
      </w:r>
    </w:p>
    <w:p/>
    <w:p>
      <w:r>
        <w:t>Integrated the pathogen-owned forms and performance contract, keyed cross-module rows by person and decision hour, recorded ZAO's state producers and overlays, admitted observed forms into SAO perception, and connected recognition records to county events. Sister implementation remains owned and verified there. Automatic recognition, persistence and the missing general decision producers remain subjects of the substrate assessment.</w:t>
      </w:r>
    </w:p>
    <w:p/>
    <w:p>
      <w:pPr>
        <w:pStyle w:val="Heading2"/>
      </w:pPr>
      <w:r>
        <w:t>Chronological product boundary</w:t>
      </w:r>
    </w:p>
    <w:p/>
    <w:p>
      <w:r>
        <w:t>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pPr>
        <w:pStyle w:val="Heading2"/>
      </w:pPr>
      <w:r>
        <w:t>Source contributions and custody</w:t>
      </w:r>
    </w:p>
    <w:p/>
    <w:tbl>
      <w:tblPr>
        <w:tblStyle w:val="TableGrid"/>
        <w:tblW w:type="auto" w:w="0"/>
        <w:tblLook w:firstColumn="1" w:firstRow="1" w:lastColumn="0" w:lastRow="0" w:noHBand="0" w:noVBand="1" w:val="04A0"/>
      </w:tblPr>
      <w:tblGrid>
        <w:gridCol w:w="2880"/>
        <w:gridCol w:w="2880"/>
        <w:gridCol w:w="2880"/>
      </w:tblGrid>
      <w:tr>
        <w:tc>
          <w:tcPr>
            <w:tcW w:type="dxa" w:w="2880"/>
          </w:tcPr>
          <w:p>
            <w:r>
              <w:t>Original contribution</w:t>
            </w:r>
          </w:p>
        </w:tc>
        <w:tc>
          <w:tcPr>
            <w:tcW w:type="dxa" w:w="2880"/>
          </w:tcPr>
          <w:p>
            <w:r>
              <w:t>Exact immutable record</w:t>
            </w:r>
          </w:p>
        </w:tc>
        <w:tc>
          <w:tcPr>
            <w:tcW w:type="dxa" w:w="2880"/>
          </w:tcPr>
          <w:p>
            <w:r>
              <w:t>SHA-256</w:t>
            </w:r>
          </w:p>
        </w:tc>
      </w:tr>
      <w:tr>
        <w:tc>
          <w:tcPr>
            <w:tcW w:type="dxa" w:w="2880"/>
          </w:tcPr>
          <w:p>
            <w:r>
              <w:t>20260919-through-C120:C37 — Pathogen data and recognition integration</w:t>
            </w:r>
          </w:p>
        </w:tc>
        <w:tc>
          <w:tcPr>
            <w:tcW w:type="dxa" w:w="2880"/>
          </w:tcPr>
          <w:p>
            <w:r>
              <w:t>[Source record](../../Batches/history/c-20261003-source/Batches/C37-2026-09-12-pathogen-data-and-recognition-integration.md)</w:t>
            </w:r>
          </w:p>
        </w:tc>
        <w:tc>
          <w:tcPr>
            <w:tcW w:type="dxa" w:w="2880"/>
          </w:tcPr>
          <w:p>
            <w:r>
              <w:t>fc5684ccfb93f6341d730867b2ff1d50fe799556a7145799af234be59c38c5f0</w:t>
            </w:r>
          </w:p>
        </w:tc>
      </w:tr>
    </w:tbl>
    <w:p/>
    <w:p>
      <w:r>
        <w:t>Each original contributes once to the product/version chronology. Its many-to-many shared-contract links remain in the unchanged ownership projection, and nonadjacent related work stays later in the chronology.</w:t>
      </w:r>
    </w:p>
    <w:p/>
    <w:p>
      <w:pPr>
        <w:pStyle w:val="Heading2"/>
      </w:pPr>
      <w:r>
        <w:t>Delivered mechanisms and evidence boundaries</w:t>
      </w:r>
    </w:p>
    <w:p/>
    <w:p>
      <w:r>
        <w:t>The following excerpts preserve the source prose; relative navigation is resolved from this product record. The exact original record above owns the full context, mechanisms, controls and corrections.</w:t>
      </w:r>
    </w:p>
    <w:p/>
    <w:p>
      <w:pPr>
        <w:pStyle w:val="Heading3"/>
      </w:pPr>
      <w:r>
        <w:t>20260919-through-C120:C37 — Pathogen data and recognition integration</w:t>
      </w:r>
    </w:p>
    <w:p/>
    <w:p>
      <w:r>
        <w:t>&gt; Integrated the pathogen-owned forms and performance contract, keyed cross-module rows by person and decision hour, recorded ZAO's state producers and overlays, admitted observed forms into SAO perception, and connected recognition records to county events. Sister implementation remains owned and verified there. Automatic recognition, persistence and the missing general decision producers remain subjects of the substrate assessment.</w:t>
      </w:r>
    </w:p>
    <w:p/>
    <w:p>
      <w:r>
        <w:t>**Implementation:** mixed integration remaining joins</w:t>
      </w:r>
    </w:p>
    <w:p/>
    <w:p>
      <w:r>
        <w:t>**Verification:** source-scoped evidence and limits retained in archived record</w:t>
      </w:r>
    </w:p>
    <w:p/>
    <w:p>
      <w:r>
        <w:t>**Publication:** committed-at-source-head</w:t>
      </w:r>
    </w:p>
    <w:p/>
    <w:p>
      <w:r>
        <w:t>**Original standing:** Consolidated historical record; implementation limitations remain explicit.</w:t>
      </w:r>
    </w:p>
    <w:p/>
    <w:p>
      <w:r>
        <w:t>**Remaining scope retained from the source:**</w:t>
      </w:r>
    </w:p>
    <w:p/>
    <w:p>
      <w:pPr>
        <w:pStyle w:val="ListBullet"/>
      </w:pPr>
      <w:r>
        <w:t>Separate pathogen truth, observed signs, recognition and data; later repairs do not certify broad integration retrospectively.</w:t>
      </w:r>
    </w:p>
    <w:p/>
    <w:p>
      <w:pPr>
        <w:pStyle w:val="Heading2"/>
      </w:pPr>
      <w:r>
        <w:t>Historical interpretation</w:t>
      </w:r>
    </w:p>
    <w:p/>
    <w:p>
      <w:r>
        <w:t>This record consolidates development substance and its supporting integration, verification and publication. It supplies no new runtime, native-trial, learned-policy, visual-acceptance or release-maturity credit. Historical failures, incomplete work, source corrections and later D-era outcomes retain their dated generation-qualified records.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