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C39 - County tick and ordinary activity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C39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2026-09-13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C41–C41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Defined the county tick from elapsed hours and added ordinary street activity with durable work locations. Rework remains required: controller time can stay cached during historical substeps, and the same stay-in decision has different loaded and dormant consequences.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20260919-through-C120:C41 — County tick and ordinary activity</w:t>
            </w:r>
          </w:p>
        </w:tc>
        <w:tc>
          <w:tcPr>
            <w:tcW w:type="dxa" w:w="2880"/>
          </w:tcPr>
          <w:p>
            <w:r>
              <w:t>[Source record](../../Batches/history/c-20261003-source/Batches/C41-2026-09-13-county-tick-and-ordinary-activity.md)</w:t>
            </w:r>
          </w:p>
        </w:tc>
        <w:tc>
          <w:tcPr>
            <w:tcW w:type="dxa" w:w="2880"/>
          </w:tcPr>
          <w:p>
            <w:r>
              <w:t>7b2658042c13c13a56b435dd3497980314cb95815158aeb4ecd62ba6d59ab411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20260919-through-C120:C41 — County tick and ordinary activity</w:t>
      </w:r>
    </w:p>
    <w:p/>
    <w:p>
      <w:r>
        <w:t>&gt; Defined the county tick from elapsed hours and added ordinary street activity with durable work locations. Rework remains required: controller time can stay cached during historical substeps, and the same stay-in decision has different loaded and dormant consequences.</w:t>
      </w:r>
    </w:p>
    <w:p/>
    <w:p>
      <w:r>
        <w:t>**Implementation:** partial historical later clock repair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C53 repairs clock; activity/equivalence still need their own evidence.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