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C4 - Death ownership and infection timing</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C4</w:t>
            </w:r>
          </w:p>
        </w:tc>
      </w:tr>
      <w:tr>
        <w:tc>
          <w:tcPr>
            <w:tcW w:type="dxa" w:w="4320"/>
          </w:tcPr>
          <w:p>
            <w:r>
              <w:t>Date</w:t>
            </w:r>
          </w:p>
        </w:tc>
        <w:tc>
          <w:tcPr>
            <w:tcW w:type="dxa" w:w="4320"/>
          </w:tcPr>
          <w:p>
            <w:r>
              <w:t>2026-08-29</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C4–C4</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20260919-through-C120:C4 — Death ownership and infection timing</w:t>
            </w:r>
          </w:p>
        </w:tc>
        <w:tc>
          <w:tcPr>
            <w:tcW w:type="dxa" w:w="2880"/>
          </w:tcPr>
          <w:p>
            <w:r>
              <w:t>[Source record](../../Batches/history/c-20261003-source/Batches/C4-2026-08-29-death-ownership-and-infection-timing.md)</w:t>
            </w:r>
          </w:p>
        </w:tc>
        <w:tc>
          <w:tcPr>
            <w:tcW w:type="dxa" w:w="2880"/>
          </w:tcPr>
          <w:p>
            <w:r>
              <w:t>70e85e4e71e0b5b687ac7272fca4ab5090e34d9af7fbdb38e91bb03beb33bc4d</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20260919-through-C120:C4 — Death ownership and infection timing</w:t>
      </w:r>
    </w:p>
    <w:p/>
    <w:p>
      <w:r>
        <w:t>&gt; 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p/>
    <w:p>
      <w:r>
        <w:t>**Implementation:** completed scoped with corrections</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C52/C56 correct later Afflicted defects; death knowledge and pathogen truth retain distinct authority.</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