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C44 - Child and everyday activity integration</w:t>
      </w:r>
    </w:p>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Product record</w:t>
            </w:r>
          </w:p>
        </w:tc>
      </w:tr>
      <w:tr>
        <w:tc>
          <w:tcPr>
            <w:tcW w:type="dxa" w:w="4320"/>
          </w:tcPr>
          <w:p>
            <w:r>
              <w:t>Batch</w:t>
            </w:r>
          </w:p>
        </w:tc>
        <w:tc>
          <w:tcPr>
            <w:tcW w:type="dxa" w:w="4320"/>
          </w:tcPr>
          <w:p>
            <w:r>
              <w:t>C44</w:t>
            </w:r>
          </w:p>
        </w:tc>
      </w:tr>
      <w:tr>
        <w:tc>
          <w:tcPr>
            <w:tcW w:type="dxa" w:w="4320"/>
          </w:tcPr>
          <w:p>
            <w:r>
              <w:t>Date</w:t>
            </w:r>
          </w:p>
        </w:tc>
        <w:tc>
          <w:tcPr>
            <w:tcW w:type="dxa" w:w="4320"/>
          </w:tcPr>
          <w:p>
            <w:r>
              <w:t>2026-09-14</w:t>
            </w:r>
          </w:p>
        </w:tc>
      </w:tr>
      <w:tr>
        <w:tc>
          <w:tcPr>
            <w:tcW w:type="dxa" w:w="4320"/>
          </w:tcPr>
          <w:p>
            <w:r>
              <w:t>Generation</w:t>
            </w:r>
          </w:p>
        </w:tc>
        <w:tc>
          <w:tcPr>
            <w:tcW w:type="dxa" w:w="4320"/>
          </w:tcPr>
          <w:p>
            <w:r>
              <w:t>20261005-product-consolidation</w:t>
            </w:r>
          </w:p>
        </w:tc>
      </w:tr>
      <w:tr>
        <w:tc>
          <w:tcPr>
            <w:tcW w:type="dxa" w:w="4320"/>
          </w:tcPr>
          <w:p>
            <w:r>
              <w:t>Source generation</w:t>
            </w:r>
          </w:p>
        </w:tc>
        <w:tc>
          <w:tcPr>
            <w:tcW w:type="dxa" w:w="4320"/>
          </w:tcPr>
          <w:p>
            <w:r>
              <w:t>20260919-through-C120</w:t>
            </w:r>
          </w:p>
        </w:tc>
      </w:tr>
      <w:tr>
        <w:tc>
          <w:tcPr>
            <w:tcW w:type="dxa" w:w="4320"/>
          </w:tcPr>
          <w:p>
            <w:r>
              <w:t>Source range</w:t>
            </w:r>
          </w:p>
        </w:tc>
        <w:tc>
          <w:tcPr>
            <w:tcW w:type="dxa" w:w="4320"/>
          </w:tcPr>
          <w:p>
            <w:r>
              <w:t>C46–C46</w:t>
            </w:r>
          </w:p>
        </w:tc>
      </w:tr>
      <w:tr>
        <w:tc>
          <w:tcPr>
            <w:tcW w:type="dxa" w:w="4320"/>
          </w:tcPr>
          <w:p>
            <w:r>
              <w:t>Tier</w:t>
            </w:r>
          </w:p>
        </w:tc>
        <w:tc>
          <w:tcPr>
            <w:tcW w:type="dxa" w:w="4320"/>
          </w:tcPr>
          <w:p>
            <w:r>
              <w:t>kohai</w:t>
            </w:r>
          </w:p>
        </w:tc>
      </w:tr>
      <w:tr>
        <w:tc>
          <w:tcPr>
            <w:tcW w:type="dxa" w:w="4320"/>
          </w:tcPr>
          <w:p>
            <w:r>
              <w:t>Standing</w:t>
            </w:r>
          </w:p>
        </w:tc>
        <w:tc>
          <w:tcPr>
            <w:tcW w:type="dxa" w:w="4320"/>
          </w:tcPr>
          <w:p>
            <w:r>
              <w:t>Historical product synthesis; each component retains its exact implementation, verification, publication and remaining scope.</w:t>
            </w:r>
          </w:p>
        </w:tc>
      </w:tr>
    </w:tbl>
    <w:p/>
    <w:p>
      <w:pPr>
        <w:pStyle w:val="Heading2"/>
      </w:pPr>
      <w:r>
        <w:t>Product outcome</w:t>
      </w:r>
    </w:p>
    <w:p/>
    <w:p>
      <w:r>
        <w:t>Extended age-sensitive driving and everyday activities. The audit reproduced healthy children receiving wound fear because zero is truthy in Lua, and found activity participant discovery bypassing individual perception. Capacity and activity primitives remain useful while these decisions require repair.</w:t>
      </w:r>
    </w:p>
    <w:p/>
    <w:p>
      <w:pPr>
        <w:pStyle w:val="Heading2"/>
      </w:pPr>
      <w:r>
        <w:t>Chronological product boundary</w:t>
      </w:r>
    </w:p>
    <w:p/>
    <w:p>
      <w:r>
        <w:t>Retains the substantive product boundary established by the operator-authorized 2026-09-19 consolidation. Its exact original source includes the implementation assessment, cause-specific corrections and remaining scope; later related work stays in its chronological product.</w:t>
      </w:r>
    </w:p>
    <w:p/>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p/>
    <w:p>
      <w:pPr>
        <w:pStyle w:val="Heading2"/>
      </w:pPr>
      <w:r>
        <w:t>Source contributions and custody</w:t>
      </w:r>
    </w:p>
    <w:p/>
    <w:tbl>
      <w:tblPr>
        <w:tblStyle w:val="TableGrid"/>
        <w:tblW w:type="auto" w:w="0"/>
        <w:tblLook w:firstColumn="1" w:firstRow="1" w:lastColumn="0" w:lastRow="0" w:noHBand="0" w:noVBand="1" w:val="04A0"/>
      </w:tblPr>
      <w:tblGrid>
        <w:gridCol w:w="2880"/>
        <w:gridCol w:w="2880"/>
        <w:gridCol w:w="2880"/>
      </w:tblGrid>
      <w:tr>
        <w:tc>
          <w:tcPr>
            <w:tcW w:type="dxa" w:w="2880"/>
          </w:tcPr>
          <w:p>
            <w:r>
              <w:t>Original contribution</w:t>
            </w:r>
          </w:p>
        </w:tc>
        <w:tc>
          <w:tcPr>
            <w:tcW w:type="dxa" w:w="2880"/>
          </w:tcPr>
          <w:p>
            <w:r>
              <w:t>Exact immutable record</w:t>
            </w:r>
          </w:p>
        </w:tc>
        <w:tc>
          <w:tcPr>
            <w:tcW w:type="dxa" w:w="2880"/>
          </w:tcPr>
          <w:p>
            <w:r>
              <w:t>SHA-256</w:t>
            </w:r>
          </w:p>
        </w:tc>
      </w:tr>
      <w:tr>
        <w:tc>
          <w:tcPr>
            <w:tcW w:type="dxa" w:w="2880"/>
          </w:tcPr>
          <w:p>
            <w:r>
              <w:t>20260919-through-C120:C46 — Child and everyday activity integration</w:t>
            </w:r>
          </w:p>
        </w:tc>
        <w:tc>
          <w:tcPr>
            <w:tcW w:type="dxa" w:w="2880"/>
          </w:tcPr>
          <w:p>
            <w:r>
              <w:t>[Source record](../../Batches/history/c-20261003-source/Batches/C46-2026-09-14-child-and-everyday-activity-integration.md)</w:t>
            </w:r>
          </w:p>
        </w:tc>
        <w:tc>
          <w:tcPr>
            <w:tcW w:type="dxa" w:w="2880"/>
          </w:tcPr>
          <w:p>
            <w:r>
              <w:t>317d2631c71891315555be7284cb7aebf88ad9f2ffb40908f249870515e2a4f1</w:t>
            </w:r>
          </w:p>
        </w:tc>
      </w:tr>
    </w:tbl>
    <w:p/>
    <w:p>
      <w:r>
        <w:t>Each original contributes once to the product/version chronology. Its many-to-many shared-contract links remain in the unchanged ownership projection, and nonadjacent related work stays later in the chronology.</w:t>
      </w:r>
    </w:p>
    <w:p/>
    <w:p>
      <w:pPr>
        <w:pStyle w:val="Heading2"/>
      </w:pPr>
      <w:r>
        <w:t>Delivered mechanisms and evidence boundaries</w:t>
      </w:r>
    </w:p>
    <w:p/>
    <w:p>
      <w:r>
        <w:t>The following excerpts preserve the source prose; relative navigation is resolved from this product record. The exact original record above owns the full context, mechanisms, controls and corrections.</w:t>
      </w:r>
    </w:p>
    <w:p/>
    <w:p>
      <w:pPr>
        <w:pStyle w:val="Heading3"/>
      </w:pPr>
      <w:r>
        <w:t>20260919-through-C120:C46 — Child and everyday activity integration</w:t>
      </w:r>
    </w:p>
    <w:p/>
    <w:p>
      <w:r>
        <w:t>&gt; Extended age-sensitive driving and everyday activities. The audit reproduced healthy children receiving wound fear because zero is truthy in Lua, and found activity participant discovery bypassing individual perception. Capacity and activity primitives remain useful while these decisions require repair.</w:t>
      </w:r>
    </w:p>
    <w:p/>
    <w:p>
      <w:r>
        <w:t>**Implementation:** partial rework required</w:t>
      </w:r>
    </w:p>
    <w:p/>
    <w:p>
      <w:r>
        <w:t>**Verification:** source-scoped evidence and limits retained in archived record</w:t>
      </w:r>
    </w:p>
    <w:p/>
    <w:p>
      <w:r>
        <w:t>**Publication:** committed-at-source-head</w:t>
      </w:r>
    </w:p>
    <w:p/>
    <w:p>
      <w:r>
        <w:t>**Original standing:** Consolidated historical record; implementation limitations remain explicit.</w:t>
      </w:r>
    </w:p>
    <w:p/>
    <w:p>
      <w:r>
        <w:t>**Remaining scope retained from the source:**</w:t>
      </w:r>
    </w:p>
    <w:p/>
    <w:p>
      <w:pPr>
        <w:pStyle w:val="ListBullet"/>
      </w:pPr>
      <w:r>
        <w:t>C60 repairs loaded partner admission; capacity support does not certify decisions/dormant activity.</w:t>
      </w:r>
    </w:p>
    <w:p/>
    <w:p>
      <w:pPr>
        <w:pStyle w:val="Heading2"/>
      </w:pPr>
      <w:r>
        <w:t>Historical interpretation</w:t>
      </w:r>
    </w:p>
    <w:p/>
    <w:p>
      <w:r>
        <w:t>This record consolidates development substance and its supporting integration, verification and publication. It supplies no new runtime, native-trial, learned-policy, visual-acceptance or release-maturity credit. Historical failures, incomplete work, source corrections and later D-era outcomes retain their dated generation-qualified records.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