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C46 - Vehicle animal and combat integration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C46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2026-09-14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C48–C48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Added held-key vehicle access, vehicle storage, animal care and combat-perception compatibility. Verified key and action adapters remain useful. Rework is required for compartment access and moving positions, animal admission into human beliefs, remote hutch extraction, installed prone-state keys and active-target revalidation.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20260919-through-C120:C48 — Vehicle animal and combat integration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record](../../Batches/history/c-20261003-source/Batches/C48-2026-09-14-vehicle-animal-and-combat-integration.md)</w:t>
            </w:r>
          </w:p>
        </w:tc>
        <w:tc>
          <w:tcPr>
            <w:tcW w:type="dxa" w:w="2880"/>
          </w:tcPr>
          <w:p>
            <w:r>
              <w:t>20552424a7bc360d693c4bac49b980411056e805aa09b3105cc80159a928fcdc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20260919-through-C120:C48 — Vehicle animal and combat integration</w:t>
      </w:r>
    </w:p>
    <w:p/>
    <w:p>
      <w:r>
        <w:t>&gt; Added held-key vehicle access, vehicle storage, animal care and combat-perception compatibility. Verified key and action adapters remain useful. Rework is required for compartment access and moving positions, animal admission into human beliefs, remote hutch extraction, installed prone-state keys and active-target revalidation.</w:t>
      </w:r>
    </w:p>
    <w:p/>
    <w:p>
      <w:r>
        <w:t>**Implementation:** partial rework required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C60 closes scoped loaded defects; keys/adapters do not certify all animal/combat/storage behavior.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