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C55 - Measured treatment completion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Product record</w:t>
            </w:r>
          </w:p>
        </w:tc>
      </w:tr>
      <w:tr>
        <w:tc>
          <w:tcPr>
            <w:tcW w:type="dxa" w:w="4320"/>
          </w:tcPr>
          <w:p>
            <w:r>
              <w:t>Batch</w:t>
            </w:r>
          </w:p>
        </w:tc>
        <w:tc>
          <w:tcPr>
            <w:tcW w:type="dxa" w:w="4320"/>
          </w:tcPr>
          <w:p>
            <w:r>
              <w:t>C55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2026-09-21</w:t>
            </w:r>
          </w:p>
        </w:tc>
      </w:tr>
      <w:tr>
        <w:tc>
          <w:tcPr>
            <w:tcW w:type="dxa" w:w="4320"/>
          </w:tcPr>
          <w:p>
            <w:r>
              <w:t>Generation</w:t>
            </w:r>
          </w:p>
        </w:tc>
        <w:tc>
          <w:tcPr>
            <w:tcW w:type="dxa" w:w="4320"/>
          </w:tcPr>
          <w:p>
            <w:r>
              <w:t>20261005-product-consolidation</w:t>
            </w:r>
          </w:p>
        </w:tc>
      </w:tr>
      <w:tr>
        <w:tc>
          <w:tcPr>
            <w:tcW w:type="dxa" w:w="4320"/>
          </w:tcPr>
          <w:p>
            <w:r>
              <w:t>Source generation</w:t>
            </w:r>
          </w:p>
        </w:tc>
        <w:tc>
          <w:tcPr>
            <w:tcW w:type="dxa" w:w="4320"/>
          </w:tcPr>
          <w:p>
            <w:r>
              <w:t>20260919-through-C120</w:t>
            </w:r>
          </w:p>
        </w:tc>
      </w:tr>
      <w:tr>
        <w:tc>
          <w:tcPr>
            <w:tcW w:type="dxa" w:w="4320"/>
          </w:tcPr>
          <w:p>
            <w:r>
              <w:t>Source range</w:t>
            </w:r>
          </w:p>
        </w:tc>
        <w:tc>
          <w:tcPr>
            <w:tcW w:type="dxa" w:w="4320"/>
          </w:tcPr>
          <w:p>
            <w:r>
              <w:t>C70–C70</w:t>
            </w:r>
          </w:p>
        </w:tc>
      </w:tr>
      <w:tr>
        <w:tc>
          <w:tcPr>
            <w:tcW w:type="dxa" w:w="4320"/>
          </w:tcPr>
          <w:p>
            <w:r>
              <w:t>Tier</w:t>
            </w:r>
          </w:p>
        </w:tc>
        <w:tc>
          <w:tcPr>
            <w:tcW w:type="dxa" w:w="4320"/>
          </w:tcPr>
          <w:p>
            <w:r>
              <w:t>kohai</w:t>
            </w:r>
          </w:p>
        </w:tc>
      </w:tr>
      <w:tr>
        <w:tc>
          <w:tcPr>
            <w:tcW w:type="dxa" w:w="4320"/>
          </w:tcPr>
          <w:p>
            <w:r>
              <w:t>Standing</w:t>
            </w:r>
          </w:p>
        </w:tc>
        <w:tc>
          <w:tcPr>
            <w:tcW w:type="dxa" w:w="4320"/>
          </w:tcPr>
          <w:p>
            <w:r>
              <w:t>Historical product synthesis; each component retains its exact implementation, verification, publication and remaining scope.</w:t>
            </w:r>
          </w:p>
        </w:tc>
      </w:tr>
    </w:tbl>
    <w:p/>
    <w:p>
      <w:pPr>
        <w:pStyle w:val="Heading2"/>
      </w:pPr>
      <w:r>
        <w:t>Product outcome</w:t>
      </w:r>
    </w:p>
    <w:p/>
    <w:p>
      <w:r>
        <w:t>Care consequences follow measured native treatment of the named patient and one-time result consumption, instead of a queued bandage action.</w:t>
      </w:r>
    </w:p>
    <w:p/>
    <w:p>
      <w:pPr>
        <w:pStyle w:val="Heading2"/>
      </w:pPr>
      <w:r>
        <w:t>Chronological product boundary</w:t>
      </w:r>
    </w:p>
    <w:p/>
    <w:p>
      <w:r>
        <w:t>The correction matures the existing care capability; exchange and treatment have different native receivers and consequences.</w:t>
      </w:r>
    </w:p>
    <w:p/>
    <w:p>
      <w:r>
        <w:t>Extends, integrates or structurally matures an existing capability. The correction matures the existing care capability; exchange and treatment have different native receivers and consequences.</w:t>
      </w:r>
    </w:p>
    <w:p/>
    <w:p>
      <w:pPr>
        <w:pStyle w:val="Heading2"/>
      </w:pPr>
      <w:r>
        <w:t>Source contributions and custody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Original contribution</w:t>
            </w:r>
          </w:p>
        </w:tc>
        <w:tc>
          <w:tcPr>
            <w:tcW w:type="dxa" w:w="2880"/>
          </w:tcPr>
          <w:p>
            <w:r>
              <w:t>Exact immutable record</w:t>
            </w:r>
          </w:p>
        </w:tc>
        <w:tc>
          <w:tcPr>
            <w:tcW w:type="dxa" w:w="2880"/>
          </w:tcPr>
          <w:p>
            <w:r>
              <w:t>SHA-256</w:t>
            </w:r>
          </w:p>
        </w:tc>
      </w:tr>
      <w:tr>
        <w:tc>
          <w:tcPr>
            <w:tcW w:type="dxa" w:w="2880"/>
          </w:tcPr>
          <w:p>
            <w:r>
              <w:t>20260919-through-C120:C70 — Treatment completion</w:t>
            </w:r>
          </w:p>
        </w:tc>
        <w:tc>
          <w:tcPr>
            <w:tcW w:type="dxa" w:w="2880"/>
          </w:tcPr>
          <w:p>
            <w:r>
              <w:t>[Source record](../../Batches/history/c-20261003-source/Batches/C70-2026-09-21-treatment-completion.md)</w:t>
            </w:r>
          </w:p>
        </w:tc>
        <w:tc>
          <w:tcPr>
            <w:tcW w:type="dxa" w:w="2880"/>
          </w:tcPr>
          <w:p>
            <w:r>
              <w:t>c1e190de102f38eb00b349f5c604f3e0e1415aaff97dac136c80cacda615e9b8</w:t>
            </w:r>
          </w:p>
        </w:tc>
      </w:tr>
    </w:tbl>
    <w:p/>
    <w:p>
      <w:r>
        <w:t>Each original contributes once to the product/version chronology. Its many-to-many shared-contract links remain in the unchanged ownership projection, and nonadjacent related work stays later in the chronology.</w:t>
      </w:r>
    </w:p>
    <w:p/>
    <w:p>
      <w:pPr>
        <w:pStyle w:val="Heading2"/>
      </w:pPr>
      <w:r>
        <w:t>Delivered mechanisms and evidence boundaries</w:t>
      </w:r>
    </w:p>
    <w:p/>
    <w:p>
      <w:r>
        <w:t>The following excerpts preserve the source prose; relative navigation is resolved from this product record. The exact original record above owns the full context, mechanisms, controls and corrections.</w:t>
      </w:r>
    </w:p>
    <w:p/>
    <w:p>
      <w:pPr>
        <w:pStyle w:val="Heading3"/>
      </w:pPr>
      <w:r>
        <w:t>20260919-through-C120:C70 — Treatment completion</w:t>
      </w:r>
    </w:p>
    <w:p/>
    <w:p>
      <w:r>
        <w:t>&gt; Open-wound aid called vanilla `ISApplyBandage` but returned `"treated"` as soon</w:t>
      </w:r>
    </w:p>
    <w:p>
      <w:r>
        <w:t>&gt; as the queue call did not throw. Both NPC care paths immediately changed trust,</w:t>
      </w:r>
    </w:p>
    <w:p>
      <w:r>
        <w:t>&gt; the patient's answered-cry stamp, Doctor experience and voice. The player's</w:t>
      </w:r>
    </w:p>
    <w:p>
      <w:r>
        <w:t>&gt; bandage menu had the same defect for trust. An interrupted action, a native</w:t>
      </w:r>
    </w:p>
    <w:p>
      <w:r>
        <w:t>&gt; refusal or a dirty dressing that held for zero time could therefore produce a</w:t>
      </w:r>
    </w:p>
    <w:p>
      <w:r>
        <w:t>&gt; social history of care that the named patient never received.</w:t>
      </w:r>
    </w:p>
    <w:p/>
    <w:p>
      <w:r>
        <w:t>&gt; The [producer matrix](../../artifacts/audits/20260921-1105Z-0405PST-treatment-completion/PLAN.md)</w:t>
      </w:r>
    </w:p>
    <w:p>
      <w:r>
        <w:t>&gt; separates request admission, the native body mutation, result classification</w:t>
      </w:r>
    </w:p>
    <w:p>
      <w:r>
        <w:t>&gt; and one-time consequence consumption.</w:t>
      </w:r>
    </w:p>
    <w:p/>
    <w:p>
      <w:r>
        <w:t>&gt; `SAO_Treatment` owns open-wound bandaging for SAO self-care, NPC aid and player</w:t>
      </w:r>
    </w:p>
    <w:p>
      <w:r>
        <w:t>&gt; aid. Its durable record contains only scalar actor, patient, item, body-part</w:t>
      </w:r>
    </w:p>
    <w:p>
      <w:r>
        <w:t>&gt; index, status, reason and consequence receipts. Bodies, inventories, body</w:t>
      </w:r>
    </w:p>
    <w:p>
      <w:r>
        <w:t>&gt; parts, items and timed actions remain in a current-world runtime map.</w:t>
      </w:r>
    </w:p>
    <w:p/>
    <w:p>
      <w:r>
        <w:t>**Implementation:** implemented scope recorded; corrections retained</w:t>
      </w:r>
    </w:p>
    <w:p/>
    <w:p>
      <w:r>
        <w:t>**Verification:** source-scoped evidence and limits retained in archived record</w:t>
      </w:r>
    </w:p>
    <w:p/>
    <w:p>
      <w:r>
        <w:t>**Publication:** committed-at-source-head</w:t>
      </w:r>
    </w:p>
    <w:p/>
    <w:p>
      <w:r>
        <w:t>**Original standing:** \| Status \| Closed; complete repository gate enforced by the publishing commit. \|</w:t>
      </w:r>
    </w:p>
    <w:p/>
    <w:p>
      <w:r>
        <w:t>**Remaining scope retained from the source:**</w:t>
      </w:r>
    </w:p>
    <w:p/>
    <w:p>
      <w:pPr>
        <w:pStyle w:val="ListBullet"/>
      </w:pPr>
      <w:r>
        <w:t>C120 repairs subsequent Controller duplicate Doctor credit and queue-drain closure; wider care remains open.</w:t>
      </w:r>
    </w:p>
    <w:p/>
    <w:p>
      <w:pPr>
        <w:pStyle w:val="Heading2"/>
      </w:pPr>
      <w:r>
        <w:t>Historical interpretation</w:t>
      </w:r>
    </w:p>
    <w:p/>
    <w:p>
      <w:r>
        <w:t>This record consolidates development substance and its supporting integration, verification and publication. It supplies no new runtime, native-trial, learned-policy, visual-acceptance or release-maturity credit. Historical failures, incomplete work, source corrections and later D-era outcomes retain their dated generation-qualified records.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