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C58 - Source-bound conversation knowledge and person-state evidence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C58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2026-09-23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C74–C78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 conversation input binds the source, actual personal acquisition, calendar, typed selected claims and detached person-state channels. The acquisition correction preserves and revokes the earlier county-presence grant; controlled contrasts expose trust, threat, lesson and strain without inventing factual entitlement.</w:t>
      </w:r>
    </w:p>
    <w:p/>
    <w:p>
      <w:pPr>
        <w:pStyle w:val="Heading2"/>
      </w:pPr>
      <w:r>
        <w:t>Chronological product boundary</w:t>
      </w:r>
    </w:p>
    <w:p/>
    <w:p>
      <w:r>
        <w:t>Claim provenance, typed retrieval references, immutable capture, the real reading-acquisition correction and contextual person-state comparison form one runtime/data authoring product. Training, learned expression and loaded conversation quality remain source-declared gaps.</w:t>
      </w:r>
    </w:p>
    <w:p/>
    <w:p>
      <w:r>
        <w:t>Establishes a new player-visible capability or authoring/runtime contract. Claim provenance, typed retrieval references, immutable capture, the real reading-acquisition correction and contextual person-state comparison form one runtime/data authoring product. Training, learned expression and loaded conversation quality remain source-declared gaps.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20260919-through-C120:C74 — Personal world-knowledge evidence</w:t>
            </w:r>
          </w:p>
        </w:tc>
        <w:tc>
          <w:tcPr>
            <w:tcW w:type="dxa" w:w="2880"/>
          </w:tcPr>
          <w:p>
            <w:r>
              <w:t>[Source record](../../Batches/history/c-20261003-source/Batches/C74-2026-09-21-personal-world-knowledge-evidence.md)</w:t>
            </w:r>
          </w:p>
        </w:tc>
        <w:tc>
          <w:tcPr>
            <w:tcW w:type="dxa" w:w="2880"/>
          </w:tcPr>
          <w:p>
            <w:r>
              <w:t>3290e590e0ff3b0ed0370ce91e71f2f66c91fb64977784d74b74d48e84ae091f</w:t>
            </w:r>
          </w:p>
        </w:tc>
      </w:tr>
      <w:tr>
        <w:tc>
          <w:tcPr>
            <w:tcW w:type="dxa" w:w="2880"/>
          </w:tcPr>
          <w:p>
            <w:r>
              <w:t>20260919-through-C120:C75 — Typed claim catalogues</w:t>
            </w:r>
          </w:p>
        </w:tc>
        <w:tc>
          <w:tcPr>
            <w:tcW w:type="dxa" w:w="2880"/>
          </w:tcPr>
          <w:p>
            <w:r>
              <w:t>[Source record](../../Batches/history/c-20261003-source/Batches/C75-2026-09-21-typed-claim-catalogues.md)</w:t>
            </w:r>
          </w:p>
        </w:tc>
        <w:tc>
          <w:tcPr>
            <w:tcW w:type="dxa" w:w="2880"/>
          </w:tcPr>
          <w:p>
            <w:r>
              <w:t>91d391e362532055e9e39bda1340c5f45ccd6dcfb999514098b87eeb9fef4476</w:t>
            </w:r>
          </w:p>
        </w:tc>
      </w:tr>
      <w:tr>
        <w:tc>
          <w:tcPr>
            <w:tcW w:type="dxa" w:w="2880"/>
          </w:tcPr>
          <w:p>
            <w:r>
              <w:t>20260919-through-C120:C76 — Conversation capture</w:t>
            </w:r>
          </w:p>
        </w:tc>
        <w:tc>
          <w:tcPr>
            <w:tcW w:type="dxa" w:w="2880"/>
          </w:tcPr>
          <w:p>
            <w:r>
              <w:t>[Source record](../../Batches/history/c-20261003-source/Batches/C76-2026-09-22-conversation-capture.md)</w:t>
            </w:r>
          </w:p>
        </w:tc>
        <w:tc>
          <w:tcPr>
            <w:tcW w:type="dxa" w:w="2880"/>
          </w:tcPr>
          <w:p>
            <w:r>
              <w:t>94a80a7962dbbe6201849e1b5b6c2f5b6d556a2cba8a286c69563cdd4a6df3d3</w:t>
            </w:r>
          </w:p>
        </w:tc>
      </w:tr>
      <w:tr>
        <w:tc>
          <w:tcPr>
            <w:tcW w:type="dxa" w:w="2880"/>
          </w:tcPr>
          <w:p>
            <w:r>
              <w:t>20260919-through-C120:C77 — Evidenced world knowledge</w:t>
            </w:r>
          </w:p>
        </w:tc>
        <w:tc>
          <w:tcPr>
            <w:tcW w:type="dxa" w:w="2880"/>
          </w:tcPr>
          <w:p>
            <w:r>
              <w:t>[Source record](../../Batches/history/c-20261003-source/Batches/C77-2026-09-22-evidenced-world-knowledge.md)</w:t>
            </w:r>
          </w:p>
        </w:tc>
        <w:tc>
          <w:tcPr>
            <w:tcW w:type="dxa" w:w="2880"/>
          </w:tcPr>
          <w:p>
            <w:r>
              <w:t>b9611bfbce21a16308f2c6726819e6eb4630401c56aa626ca2359bd559ca968b</w:t>
            </w:r>
          </w:p>
        </w:tc>
      </w:tr>
      <w:tr>
        <w:tc>
          <w:tcPr>
            <w:tcW w:type="dxa" w:w="2880"/>
          </w:tcPr>
          <w:p>
            <w:r>
              <w:t>20260919-through-C120:C78 — Person-state comparisons</w:t>
            </w:r>
          </w:p>
        </w:tc>
        <w:tc>
          <w:tcPr>
            <w:tcW w:type="dxa" w:w="2880"/>
          </w:tcPr>
          <w:p>
            <w:r>
              <w:t>[Source record](../../Batches/history/c-20261003-source/Batches/C78-2026-09-23-person-state-comparisons.md)</w:t>
            </w:r>
          </w:p>
        </w:tc>
        <w:tc>
          <w:tcPr>
            <w:tcW w:type="dxa" w:w="2880"/>
          </w:tcPr>
          <w:p>
            <w:r>
              <w:t>2f3ea21b99c3b35e50ed9045437071ac6c981354322fb83a0f56db7a9be73f36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20260919-through-C120:C74 — Personal world-knowledge evidence</w:t>
      </w:r>
    </w:p>
    <w:p/>
    <w:p>
      <w:r>
        <w:t>&gt; Speakeasy's approved world-knowledge contract requires a claim's carrier,</w:t>
      </w:r>
    </w:p>
    <w:p>
      <w:r>
        <w:t>&gt; calendar horizon, personal acquisition path and retention to agree before the</w:t>
      </w:r>
    </w:p>
    <w:p>
      <w:r>
        <w:t>&gt; claim can condition a decision. Its authoring compiler could inspect those</w:t>
      </w:r>
    </w:p>
    <w:p>
      <w:r>
        <w:t>&gt; records but Survivor Awareness did not produce them. An origin region, current</w:t>
      </w:r>
    </w:p>
    <w:p>
      <w:r>
        <w:t>&gt; age or radio in a person's inventory could therefore be mistaken for evidence</w:t>
      </w:r>
    </w:p>
    <w:p>
      <w:r>
        <w:t>&gt; that the person knew a protected claim.</w:t>
      </w:r>
    </w:p>
    <w:p/>
    <w:p>
      <w:r>
        <w:t>&gt; The [producer matrix](../../artifacts/audits/20260922-0204Z-1904PST-world-knowledge-evidence/PLAN.md)</w:t>
      </w:r>
    </w:p>
    <w:p>
      <w:r>
        <w:t>&gt; selects one bounded Knox event whose protected source says county residents</w:t>
      </w:r>
    </w:p>
    <w:p>
      <w:r>
        <w:t>&gt; carry the day as lived experience. It maps the complete path from the county</w:t>
      </w:r>
    </w:p>
    <w:p>
      <w:r>
        <w:t>&gt; calendar and a person's presence interval through acquisition, retention and a</w:t>
      </w:r>
    </w:p>
    <w:p>
      <w:r>
        <w:t>&gt; real decision capture. Protected prose, extraction review, adjudication and</w:t>
      </w:r>
    </w:p>
    <w:p>
      <w:r>
        <w:t>&gt; ratification remain in Speakeasy.</w:t>
      </w:r>
    </w:p>
    <w:p/>
    <w:p>
      <w:r>
        <w:t>&gt; `SAORecord` now maps the durable county-hour axis to an exact local calendar</w:t>
      </w:r>
    </w:p>
    <w:p>
      <w:r>
        <w:t>&gt; instant. The mapping uses the same prehistory offset as the mature-world clock,</w:t>
      </w:r>
    </w:p>
    <w:p>
      <w:r>
        <w:t>&gt; so hour zero in a late-start county remains anchored to the simulated 1993</w:t>
      </w:r>
    </w:p>
    <w:p>
      <w:r>
        <w:t>&gt; history. Record days use that same axis and continue to work when day zero is</w:t>
      </w:r>
    </w:p>
    <w:p>
      <w:r>
        <w:t>&gt; shifted onto a 1993 save.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Retain biography/calendar; presence is not reading or education.</w:t>
      </w:r>
    </w:p>
    <w:p/>
    <w:p>
      <w:pPr>
        <w:pStyle w:val="Heading3"/>
      </w:pPr>
      <w:r>
        <w:t>20260919-through-C120:C75 — Typed claim catalogues</w:t>
      </w:r>
    </w:p>
    <w:p/>
    <w:p>
      <w:r>
        <w:t>&gt; Speakeasy Record 51 requires a learned retriever to return claim identifiers</w:t>
      </w:r>
    </w:p>
    <w:p>
      <w:r>
        <w:t>&gt; from one person's current knowledge. SAO already had a broad private Knowledge</w:t>
      </w:r>
    </w:p>
    <w:p>
      <w:r>
        <w:t>&gt; surface and C47 already prevented the speaker from using scalar values outside</w:t>
      </w:r>
    </w:p>
    <w:p>
      <w:r>
        <w:t>&gt; that surface. Those two contracts did not meet. Most knowledge facts had no</w:t>
      </w:r>
    </w:p>
    <w:p>
      <w:r>
        <w:t>&gt; identifier, generic known-person beliefs were omitted from the all-topic bundle,</w:t>
      </w:r>
    </w:p>
    <w:p>
      <w:r>
        <w:t>&gt; and the fence received every known fact rather than the claims chosen for one</w:t>
      </w:r>
    </w:p>
    <w:p>
      <w:r>
        <w:t>&gt; exchange.</w:t>
      </w:r>
    </w:p>
    <w:p/>
    <w:p>
      <w:r>
        <w:t>&gt; C74 and Speakeasy Record 52 prove one protected outage claim from source review</w:t>
      </w:r>
    </w:p>
    <w:p>
      <w:r>
        <w:t>&gt; through Ada North's lived acquisition. That reference creates no training row</w:t>
      </w:r>
    </w:p>
    <w:p>
      <w:r>
        <w:t>&gt; and leaves its controlled source choice excluded. The</w:t>
      </w:r>
    </w:p>
    <w:p>
      <w:r>
        <w:t>&gt; [C75 contract](../../artifacts/audits/20260922-0540Z-2240PST-typed-claim-catalogues/PLAN.md)</w:t>
      </w:r>
    </w:p>
    <w:p>
      <w:r>
        <w:t>&gt; therefore addresses the runtime data shape without claiming that a complete</w:t>
      </w:r>
    </w:p>
    <w:p>
      <w:r>
        <w:t>&gt; protected-world catalogue, relevance targets or a learned runtime exists.</w:t>
      </w:r>
    </w:p>
    <w:p/>
    <w:p>
      <w:r>
        <w:t>&gt; `Knowledge.claimCatalogue` reads the existing facts for one person, listener and</w:t>
      </w:r>
    </w:p>
    <w:p>
      <w:r>
        <w:t>&gt; tick and returns a detached schema-versioned catalogue under a caller-owned</w:t>
      </w:r>
    </w:p>
    <w:p>
      <w:r>
        <w:t>&gt; immutable snapshot reference. It enumerates every requested topic, including</w:t>
      </w:r>
    </w:p>
    <w:p>
      <w:r>
        <w:t>&gt; each person in the private belief store. Canonical fact content determines</w:t>
      </w:r>
    </w:p>
    <w:p>
      <w:r>
        <w:t>&gt; ordering, so Lua map insertion order cannot move a reference. Each catalogue</w:t>
      </w:r>
    </w:p>
    <w:p>
      <w:r>
        <w:t>&gt; entry receives a local reference and a protected world entry also retains its</w:t>
      </w:r>
    </w:p>
    <w:p>
      <w:r>
        <w:t>&gt; stable source claim identifier.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Catalogue is not trained retrieval; source coverage and downstream task quality remain.</w:t>
      </w:r>
    </w:p>
    <w:p/>
    <w:p>
      <w:pPr>
        <w:pStyle w:val="Heading3"/>
      </w:pPr>
      <w:r>
        <w:t>20260919-through-C120:C76 — Conversation capture</w:t>
      </w:r>
    </w:p>
    <w:p/>
    <w:p>
      <w:r>
        <w:t>&gt; Speakeasy Record 54 corrected evidence binding but still lacked an immutable</w:t>
      </w:r>
    </w:p>
    <w:p>
      <w:r>
        <w:t>&gt; conversation input. C75 assigned references to a supplied snapshot label and</w:t>
      </w:r>
    </w:p>
    <w:p>
      <w:r>
        <w:t>&gt; silently retained partial answers after source-reader failures. The started</w:t>
      </w:r>
    </w:p>
    <w:p>
      <w:r>
        <w:t>&gt; knowledge topic also read county-wide chronicle stamps as personal knowledge.</w:t>
      </w:r>
    </w:p>
    <w:p>
      <w:r>
        <w:t>&gt; These defects prevented the reference from proving what one person could know.</w:t>
      </w:r>
    </w:p>
    <w:p/>
    <w:p>
      <w:r>
        <w:t>&gt; Knowledge now offers an evidence-aware catalogue path. It records invoked</w:t>
      </w:r>
    </w:p>
    <w:p>
      <w:r>
        <w:t>&gt; readers, requested topics and failures, and refuses missing, unsupported or</w:t>
      </w:r>
    </w:p>
    <w:p>
      <w:r>
        <w:t>&gt; uninitialized Standing, WorldSources and WorldKnowledge owners before collecting</w:t>
      </w:r>
    </w:p>
    <w:p>
      <w:r>
        <w:t>&gt; facts. Ordinary inspection retains partial-answer compatibility. Evidence reads</w:t>
      </w:r>
    </w:p>
    <w:p>
      <w:r>
        <w:t>&gt; validate world-claim return shape and request strict radio-receipt reading.</w:t>
      </w:r>
    </w:p>
    <w:p>
      <w:r>
        <w:t>&gt; Malformed saved reception evidence cannot disappear as an empty history.</w:t>
      </w:r>
    </w:p>
    <w:p/>
    <w:p>
      <w:r>
        <w:t>&gt; The started topic reads this person's actual radio receipts instead of the</w:t>
      </w:r>
    </w:p>
    <w:p>
      <w:r>
        <w:t>&gt; county-wide chronicle. A report preserves its broadcast, teller and reception</w:t>
      </w:r>
    </w:p>
    <w:p>
      <w:r>
        <w:t>&gt; hour. Heard dates remain separate from an event date that the broadcast did not</w:t>
      </w:r>
    </w:p>
    <w:p>
      <w:r>
        <w:t>&gt; supply. Existing personal first-lesson knowledge remains available.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C77 revokes C74-dependent scenario knowledge; retain machinery and explicit loaded conditioning limits.</w:t>
      </w:r>
    </w:p>
    <w:p/>
    <w:p>
      <w:pPr>
        <w:pStyle w:val="Heading3"/>
      </w:pPr>
      <w:r>
        <w:t>20260919-through-C120:C77 — Evidenced world knowledge</w:t>
      </w:r>
    </w:p>
    <w:p/>
    <w:p>
      <w:r>
        <w:t>&gt; The operator questioned ordinary Internet use in 1993 and identified potential</w:t>
      </w:r>
    </w:p>
    <w:p>
      <w:r>
        <w:t>&gt; computer-source compatibility as a reason to preserve distinct acquisition</w:t>
      </w:r>
    </w:p>
    <w:p>
      <w:r>
        <w:t>&gt; paths. C74/C76 granted the combined July 2 phone/Internet claim to an adult</w:t>
      </w:r>
    </w:p>
    <w:p>
      <w:r>
        <w:t>&gt; resident from county presence. Neither presence nor age proved reading,</w:t>
      </w:r>
    </w:p>
    <w:p>
      <w:r>
        <w:t>&gt; reception or personal service use. The installed July 2 newspaper contains the</w:t>
      </w:r>
    </w:p>
    <w:p>
      <w:r>
        <w:t>&gt; combined report and says the hours-long outage continues at publication. It</w:t>
      </w:r>
    </w:p>
    <w:p>
      <w:r>
        <w:t>&gt; provides neither household Internet ubiquity nor a recovery time.</w:t>
      </w:r>
    </w:p>
    <w:p/>
    <w:p>
      <w:r>
        <w:t>&gt; WorldKnowledge schema 2 requires a native reading completion for the exact</w:t>
      </w:r>
    </w:p>
    <w:p>
      <w:r>
        <w:t>&gt; held issue. Before/after checks bind person record, loaded body, item identity,</w:t>
      </w:r>
    </w:p>
    <w:p>
      <w:r>
        <w:t>&gt; source keys and clock; the native read collection confirms completion. The</w:t>
      </w:r>
    </w:p>
    <w:p>
      <w:r>
        <w:t>&gt; receipt persists the completion hour and source identity. Knowledge exposes</w:t>
      </w:r>
    </w:p>
    <w:p>
      <w:r>
        <w:t>&gt; reported knowledge, publication hour and receipt identity separately from</w:t>
      </w:r>
    </w:p>
    <w:p>
      <w:r>
        <w:t>&gt; acquisition hour. County presence remains biographical and grants no fact.</w:t>
      </w:r>
    </w:p>
    <w:p/>
    <w:p>
      <w:r>
        <w:t>&gt; Ordinary and strict readers withhold schema-1 grants. Producer migration keeps</w:t>
      </w:r>
    </w:p>
    <w:p>
      <w:r>
        <w:t>&gt; the entire former owner state under `legacy` with an explicit correction reason.</w:t>
      </w:r>
    </w:p>
    <w:p>
      <w:r>
        <w:t>&gt; The old C74 exporter refuses regeneration. Historical C74/C76 capture bytes and</w:t>
      </w:r>
    </w:p>
    <w:p>
      <w:r>
        <w:t>&gt; closed records remain intact. Speakeasy Record 55 independently revokes current</w:t>
      </w:r>
    </w:p>
    <w:p>
      <w:r>
        <w:t>&gt; admission of the old acquisition evidence and retires its example generator.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Further book/computer/report carriers need actual acquisition; literal education corpus cannot be replaced by numeric upbringing.</w:t>
      </w:r>
    </w:p>
    <w:p/>
    <w:p>
      <w:pPr>
        <w:pStyle w:val="Heading3"/>
      </w:pPr>
      <w:r>
        <w:t>20260919-through-C120:C78 — Person-state comparisons</w:t>
      </w:r>
    </w:p>
    <w:p/>
    <w:p>
      <w:r>
        <w:t>&gt; The operator authorized connecting existing person-state to contextual behavioral</w:t>
      </w:r>
    </w:p>
    <w:p>
      <w:r>
        <w:t>&gt; comparisons after Speakeasy Record 59's source audit. This extends the existing</w:t>
      </w:r>
    </w:p>
    <w:p>
      <w:r>
        <w:t>&gt; capture contract and carries its first comparison family into Speakeasy review.</w:t>
      </w:r>
    </w:p>
    <w:p/>
    <w:p>
      <w:r>
        <w:t>&gt; `Knowledge.behaviorEvidence` returns detached typed channels with explicit</w:t>
      </w:r>
    </w:p>
    <w:p>
      <w:r>
        <w:t>&gt; owners and availability, separate from factual claim entitlement. It neither</w:t>
      </w:r>
    </w:p>
    <w:p>
      <w:r>
        <w:t>&gt; elects a branch nor advances a neurological cause. Conversation capture version</w:t>
      </w:r>
    </w:p>
    <w:p>
      <w:r>
        <w:t>&gt; 2 includes those channels inside its immutable identity; version 1 remains</w:t>
      </w:r>
    </w:p>
    <w:p>
      <w:r>
        <w:t>&gt; available. The host checks owner bytes and references around the read.</w:t>
      </w:r>
    </w:p>
    <w:p/>
    <w:p>
      <w:r>
        <w:t>&gt; Five authored scenarios retain the same acquired newspaper report and incoming</w:t>
      </w:r>
    </w:p>
    <w:p>
      <w:r>
        <w:t>&gt; question: baseline, changed trust, private threat observation, told lesson and</w:t>
      </w:r>
    </w:p>
    <w:p>
      <w:r>
        <w:t>&gt; recorded strain. Their exact interventions are in each manifest. Existing owner</w:t>
      </w:r>
    </w:p>
    <w:p>
      <w:r>
        <w:t>&gt; code executes in installed Kahlua; these are controlled inputs rather than play</w:t>
      </w:r>
    </w:p>
    <w:p>
      <w:r>
        <w:t>&gt; observations. Raw medical cause history stays in audit evidence. Speakeasy's</w:t>
      </w:r>
    </w:p>
    <w:p>
      <w:r>
        <w:t>&gt; model view carries selected behavioral projections and private knowledge.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Implementation complete; publication requires the complete repository gate. \|</w:t>
      </w:r>
    </w:p>
    <w:p/>
    <w:p>
      <w:r>
        <w:t>**Remaining scope retained from the source:**</w:t>
      </w:r>
    </w:p>
    <w:p/>
    <w:p>
      <w:pPr>
        <w:pStyle w:val="ListBullet"/>
      </w:pPr>
      <w:r>
        <w:t>Broader learned expression and alternatives need execution; paired scenarios are not independent held-out sources.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