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C59 - Enacted voluntary social coordination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Product record</w:t>
            </w:r>
          </w:p>
        </w:tc>
      </w:tr>
      <w:tr>
        <w:tc>
          <w:tcPr>
            <w:tcW w:type="dxa" w:w="4320"/>
          </w:tcPr>
          <w:p>
            <w:r>
              <w:t>Batch</w:t>
            </w:r>
          </w:p>
        </w:tc>
        <w:tc>
          <w:tcPr>
            <w:tcW w:type="dxa" w:w="4320"/>
          </w:tcPr>
          <w:p>
            <w:r>
              <w:t>C59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2026-09-24</w:t>
            </w:r>
          </w:p>
        </w:tc>
      </w:tr>
      <w:tr>
        <w:tc>
          <w:tcPr>
            <w:tcW w:type="dxa" w:w="4320"/>
          </w:tcPr>
          <w:p>
            <w:r>
              <w:t>Generation</w:t>
            </w:r>
          </w:p>
        </w:tc>
        <w:tc>
          <w:tcPr>
            <w:tcW w:type="dxa" w:w="4320"/>
          </w:tcPr>
          <w:p>
            <w:r>
              <w:t>20261005-product-consolidation</w:t>
            </w:r>
          </w:p>
        </w:tc>
      </w:tr>
      <w:tr>
        <w:tc>
          <w:tcPr>
            <w:tcW w:type="dxa" w:w="4320"/>
          </w:tcPr>
          <w:p>
            <w:r>
              <w:t>Source generation</w:t>
            </w:r>
          </w:p>
        </w:tc>
        <w:tc>
          <w:tcPr>
            <w:tcW w:type="dxa" w:w="4320"/>
          </w:tcPr>
          <w:p>
            <w:r>
              <w:t>20260919-through-C120</w:t>
            </w:r>
          </w:p>
        </w:tc>
      </w:tr>
      <w:tr>
        <w:tc>
          <w:tcPr>
            <w:tcW w:type="dxa" w:w="4320"/>
          </w:tcPr>
          <w:p>
            <w:r>
              <w:t>Source range</w:t>
            </w:r>
          </w:p>
        </w:tc>
        <w:tc>
          <w:tcPr>
            <w:tcW w:type="dxa" w:w="4320"/>
          </w:tcPr>
          <w:p>
            <w:r>
              <w:t>C79–C79</w:t>
            </w:r>
          </w:p>
        </w:tc>
      </w:tr>
      <w:tr>
        <w:tc>
          <w:tcPr>
            <w:tcW w:type="dxa" w:w="4320"/>
          </w:tcPr>
          <w:p>
            <w:r>
              <w:t>Tier</w:t>
            </w:r>
          </w:p>
        </w:tc>
        <w:tc>
          <w:tcPr>
            <w:tcW w:type="dxa" w:w="4320"/>
          </w:tcPr>
          <w:p>
            <w:r>
              <w:t>minor</w:t>
            </w:r>
          </w:p>
        </w:tc>
      </w:tr>
      <w:tr>
        <w:tc>
          <w:tcPr>
            <w:tcW w:type="dxa" w:w="4320"/>
          </w:tcPr>
          <w:p>
            <w:r>
              <w:t>Standing</w:t>
            </w:r>
          </w:p>
        </w:tc>
        <w:tc>
          <w:tcPr>
            <w:tcW w:type="dxa" w:w="4320"/>
          </w:tcPr>
          <w:p>
            <w:r>
              <w:t>Historical product synthesis; each component retains its exact implementation, verification, publication and remaining scope.</w:t>
            </w:r>
          </w:p>
        </w:tc>
      </w:tr>
    </w:tbl>
    <w:p/>
    <w:p>
      <w:pPr>
        <w:pStyle w:val="Heading2"/>
      </w:pPr>
      <w:r>
        <w:t>Product outcome</w:t>
      </w:r>
    </w:p>
    <w:p/>
    <w:p>
      <w:r>
        <w:t>An acquired proposal can receive an independently chosen recipient response, form an exact scoped commitment and enter performed material work with revision, dissent, interruption and persistence.</w:t>
      </w:r>
    </w:p>
    <w:p/>
    <w:p>
      <w:pPr>
        <w:pStyle w:val="Heading2"/>
      </w:pPr>
      <w:r>
        <w:t>Chronological product boundary</w:t>
      </w:r>
    </w:p>
    <w:p/>
    <w:p>
      <w:r>
        <w:t>This source establishes the initial voluntary coordination runtime boundary. External ownership and later natural private-life formation extend it afterward.</w:t>
      </w:r>
    </w:p>
    <w:p/>
    <w:p>
      <w:r>
        <w:t>Establishes a new player-visible capability or authoring/runtime contract. This source establishes the initial voluntary coordination runtime boundary. External ownership and later natural private-life formation extend it afterward.</w:t>
      </w:r>
    </w:p>
    <w:p/>
    <w:p>
      <w:pPr>
        <w:pStyle w:val="Heading2"/>
      </w:pPr>
      <w:r>
        <w:t>Source contributions and custody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Original contribution</w:t>
            </w:r>
          </w:p>
        </w:tc>
        <w:tc>
          <w:tcPr>
            <w:tcW w:type="dxa" w:w="2880"/>
          </w:tcPr>
          <w:p>
            <w:r>
              <w:t>Exact immutable record</w:t>
            </w:r>
          </w:p>
        </w:tc>
        <w:tc>
          <w:tcPr>
            <w:tcW w:type="dxa" w:w="2880"/>
          </w:tcPr>
          <w:p>
            <w:r>
              <w:t>SHA-256</w:t>
            </w:r>
          </w:p>
        </w:tc>
      </w:tr>
      <w:tr>
        <w:tc>
          <w:tcPr>
            <w:tcW w:type="dxa" w:w="2880"/>
          </w:tcPr>
          <w:p>
            <w:r>
              <w:t>20260919-through-C120:C79 — Enacted social coordination</w:t>
            </w:r>
          </w:p>
        </w:tc>
        <w:tc>
          <w:tcPr>
            <w:tcW w:type="dxa" w:w="2880"/>
          </w:tcPr>
          <w:p>
            <w:r>
              <w:t>[Source record](../../Batches/history/c-20261003-source/Batches/C79-2026-09-24-enacted-social-coordination.md)</w:t>
            </w:r>
          </w:p>
        </w:tc>
        <w:tc>
          <w:tcPr>
            <w:tcW w:type="dxa" w:w="2880"/>
          </w:tcPr>
          <w:p>
            <w:r>
              <w:t>9857927e2fb423366a973e53d06627e0e7f32409153ac9911512616a13424705</w:t>
            </w:r>
          </w:p>
        </w:tc>
      </w:tr>
    </w:tbl>
    <w:p/>
    <w:p>
      <w:r>
        <w:t>Each original contributes once to the product/version chronology. Its many-to-many shared-contract links remain in the unchanged ownership projection, and nonadjacent related work stays later in the chronology.</w:t>
      </w:r>
    </w:p>
    <w:p/>
    <w:p>
      <w:pPr>
        <w:pStyle w:val="Heading2"/>
      </w:pPr>
      <w:r>
        <w:t>Delivered mechanisms and evidence boundaries</w:t>
      </w:r>
    </w:p>
    <w:p/>
    <w:p>
      <w:r>
        <w:t>The following excerpts preserve the source prose; relative navigation is resolved from this product record. The exact original record above owns the full context, mechanisms, controls and corrections.</w:t>
      </w:r>
    </w:p>
    <w:p/>
    <w:p>
      <w:pPr>
        <w:pStyle w:val="Heading3"/>
      </w:pPr>
      <w:r>
        <w:t>20260919-through-C120:C79 — Enacted social coordination</w:t>
      </w:r>
    </w:p>
    <w:p/>
    <w:p>
      <w:r>
        <w:t>&gt; The operator approved plan `sao-enacted-social-work-002`. This unit makes a</w:t>
      </w:r>
    </w:p>
    <w:p>
      <w:r>
        <w:t>&gt; private situation capable of becoming an acquired proposal, one recipient's</w:t>
      </w:r>
    </w:p>
    <w:p>
      <w:r>
        <w:t>&gt; answer, a scoped commitment and performed material work without treating a</w:t>
      </w:r>
    </w:p>
    <w:p>
      <w:r>
        <w:t>&gt; roster, trust score, generic message or queued action as consent or completion.</w:t>
      </w:r>
    </w:p>
    <w:p>
      <w:r>
        <w:t>&gt; It implements limited voluntary coordination and contention. Elections, broader</w:t>
      </w:r>
    </w:p>
    <w:p>
      <w:r>
        <w:t>&gt; institutional procedures and the remaining R9 producer families stay open.</w:t>
      </w:r>
    </w:p>
    <w:p/>
    <w:p>
      <w:r>
        <w:t>&gt; The combined SAO+ZAO path uses Communication's registered execution owner.</w:t>
      </w:r>
    </w:p>
    <w:p>
      <w:r>
        <w:t>&gt; ZAO supplies a Crossed person's current activity and capability; its controller</w:t>
      </w:r>
    </w:p>
    <w:p>
      <w:r>
        <w:t>&gt; may pause the same commitment when an observed actionable target makes hunting</w:t>
      </w:r>
    </w:p>
    <w:p>
      <w:r>
        <w:t>&gt; the current activity. The retained human shell remains the body. A malformed</w:t>
      </w:r>
    </w:p>
    <w:p>
      <w:r>
        <w:t>&gt; IsoZombie Crossed admission is rejected before ownership, pathogen, settlement,</w:t>
      </w:r>
    </w:p>
    <w:p>
      <w:r>
        <w:t>&gt; mind or decision side effects. ZAO owns that correction and publishes it under</w:t>
      </w:r>
    </w:p>
    <w:p>
      <w:r>
        <w:t>&gt; its own governance.</w:t>
      </w:r>
    </w:p>
    <w:p/>
    <w:p>
      <w:r>
        <w:t>&gt; Border 190 executes proposals, all responses, revision history, scoped authority,</w:t>
      </w:r>
    </w:p>
    <w:p>
      <w:r>
        <w:t>&gt; SourceUse/Handover consumption, interruption, pause/resume, reload and retirement</w:t>
      </w:r>
    </w:p>
    <w:p>
      <w:r>
        <w:t>&gt; in the installed Kahlua VM. Command, survivor-request and radio borders exercise</w:t>
      </w:r>
    </w:p>
    <w:p>
      <w:r>
        <w:t>&gt; their production call sites. Mutation controls restore roster-free acquisition,</w:t>
      </w:r>
    </w:p>
    <w:p>
      <w:r>
        <w:t>&gt; outcome leakage, duplicate receipt consumption, revision survival, matter-scope</w:t>
      </w:r>
    </w:p>
    <w:p>
      <w:r>
        <w:t>&gt; confusion and non-resumable pause defects. Speakeasy's separate Python contract</w:t>
      </w:r>
    </w:p>
    <w:p>
      <w:r>
        <w:t>&gt; refuses wrong person, stale revision, impossible option, hidden truth and future</w:t>
      </w:r>
    </w:p>
    <w:p>
      <w:r>
        <w:t>&gt; outcome leakage.</w:t>
      </w:r>
    </w:p>
    <w:p/>
    <w:p>
      <w:r>
        <w:t>**Implementation:** implemented scope recorded; corrections retained</w:t>
      </w:r>
    </w:p>
    <w:p/>
    <w:p>
      <w:r>
        <w:t>**Verification:** source-scoped evidence and limits retained in archived record</w:t>
      </w:r>
    </w:p>
    <w:p/>
    <w:p>
      <w:r>
        <w:t>**Publication:** committed-at-source-head</w:t>
      </w:r>
    </w:p>
    <w:p/>
    <w:p>
      <w:r>
        <w:t>**Original standing:** \| Status \| Closed implementation batch; complete Windows-runtime repository gate clean. \|</w:t>
      </w:r>
    </w:p>
    <w:p/>
    <w:p>
      <w:r>
        <w:t>**Remaining scope retained from the source:**</w:t>
      </w:r>
    </w:p>
    <w:p/>
    <w:p>
      <w:pPr>
        <w:pStyle w:val="ListBullet"/>
      </w:pPr>
      <w:r>
        <w:t>Elections, succession, schism and broader institutions remain unproduced; capture preserves formation versus outcome horizons.</w:t>
      </w:r>
    </w:p>
    <w:p/>
    <w:p>
      <w:pPr>
        <w:pStyle w:val="Heading2"/>
      </w:pPr>
      <w:r>
        <w:t>Historical interpretation</w:t>
      </w:r>
    </w:p>
    <w:p/>
    <w:p>
      <w:r>
        <w:t>This record consolidates development substance and its supporting integration, verification and publication. It supplies no new runtime, native-trial, learned-policy, visual-acceptance or release-maturity credit. Historical failures, incomplete work, source corrections and later D-era outcomes retain their dated generation-qualified records.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