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C60 - ZAO-owned living person handoff</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C60</w:t>
            </w:r>
          </w:p>
        </w:tc>
      </w:tr>
      <w:tr>
        <w:tc>
          <w:tcPr>
            <w:tcW w:type="dxa" w:w="4320"/>
          </w:tcPr>
          <w:p>
            <w:r>
              <w:t>Date</w:t>
            </w:r>
          </w:p>
        </w:tc>
        <w:tc>
          <w:tcPr>
            <w:tcW w:type="dxa" w:w="4320"/>
          </w:tcPr>
          <w:p>
            <w:r>
              <w:t>2026-09-24</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C80–C80</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The retained living human body follows the authoritative ZAO execution owner for Afflicted and Crossed state, while SAO keeps exact identity, physical capture, communication and native action services.</w:t>
      </w:r>
    </w:p>
    <w:p/>
    <w:p>
      <w:pPr>
        <w:pStyle w:val="Heading2"/>
      </w:pPr>
      <w:r>
        <w:t>Chronological product boundary</w:t>
      </w:r>
    </w:p>
    <w:p/>
    <w:p>
      <w:r>
        <w:t>General living handoff integrates the existing continuity and pathogen capabilities. It neither makes the two pathogen policies identical nor copies their state into the survivor controller.</w:t>
      </w:r>
    </w:p>
    <w:p/>
    <w:p>
      <w:r>
        <w:t>Extends, integrates or structurally matures an existing capability. General living handoff integrates the existing continuity and pathogen capabilities. It neither makes the two pathogen policies identical nor copies their state into the survivor controller.</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20260919-through-C120:C80 — ZAO-owned living person handoff</w:t>
            </w:r>
          </w:p>
        </w:tc>
        <w:tc>
          <w:tcPr>
            <w:tcW w:type="dxa" w:w="2880"/>
          </w:tcPr>
          <w:p>
            <w:r>
              <w:t>[Source record](../../Batches/history/c-20261003-source/Batches/C80-20260924-2016Z-1316PST-zao-owned-living-person-handoff.md)</w:t>
            </w:r>
          </w:p>
        </w:tc>
        <w:tc>
          <w:tcPr>
            <w:tcW w:type="dxa" w:w="2880"/>
          </w:tcPr>
          <w:p>
            <w:r>
              <w:t>5475cea87d824ce8167da5815bfe6a7c555334178e7b39bb603bed544b3177fc</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20260919-through-C120:C80 — ZAO-owned living person handoff</w:t>
      </w:r>
    </w:p>
    <w:p/>
    <w:p>
      <w:r>
        <w:t>&gt; The former return contract reconstructed an Afflicted human shell, then enrolled</w:t>
      </w:r>
    </w:p>
    <w:p>
      <w:r>
        <w:t>&gt; it under SAO's ordinary survivor controller while ZAO retained the state that</w:t>
      </w:r>
    </w:p>
    <w:p>
      <w:r>
        <w:t>&gt; determined its fear, gathering, conversion and constraints. C80 makes the</w:t>
      </w:r>
    </w:p>
    <w:p>
      <w:r>
        <w:t>&gt; execution owner follow the state owner: Afflicted and Crossed are both</w:t>
      </w:r>
    </w:p>
    <w:p>
      <w:r>
        <w:t>&gt; ZAO-executed living people, with different policy rather than different</w:t>
      </w:r>
    </w:p>
    <w:p>
      <w:r>
        <w:t>&gt; controllers.</w:t>
      </w:r>
    </w:p>
    <w:p/>
    <w:p>
      <w:r>
        <w:t>&gt; Borders 162 and 164 execute loaded/dormant handoff and authorized return,</w:t>
      </w:r>
    </w:p>
    <w:p>
      <w:r>
        <w:t>&gt; including retry, reload, source removal, publication order and external death.</w:t>
      </w:r>
    </w:p>
    <w:p>
      <w:r>
        <w:t>&gt; Border 162 now also proves external restore applies zero survivor elapsed time</w:t>
      </w:r>
    </w:p>
    <w:p>
      <w:r>
        <w:t>&gt; and delivers the full interval once to the ZAO owner.</w:t>
      </w:r>
    </w:p>
    <w:p>
      <w:r>
        <w:t>&gt; Border 173 proves proximity and forged results cannot expose, and now also</w:t>
      </w:r>
    </w:p>
    <w:p>
      <w:r>
        <w:t>&gt; proves Afflicted-to-Crossed conversion preserves the ZAO driver token while the</w:t>
      </w:r>
    </w:p>
    <w:p>
      <w:r>
        <w:t>&gt; blood-action token remains separate. Border 179 retains completion-only source</w:t>
      </w:r>
    </w:p>
    <w:p>
      <w:r>
        <w:t>&gt; work through the generalized pending field. Borders 47 and 49 prove the named</w:t>
      </w:r>
    </w:p>
    <w:p>
      <w:r>
        <w:t>&gt; Afflicted arrival reach does not silently couple unrelated book-handoff or gift-</w:t>
      </w:r>
    </w:p>
    <w:p>
      <w:r>
        <w:t>&gt; attribution thresholds. The county simulation loader verifies both the primary</w:t>
      </w:r>
    </w:p>
    <w:p>
      <w:r>
        <w:t>&gt; owner and compatibility alias are present.</w:t>
      </w:r>
    </w:p>
    <w:p/>
    <w:p>
      <w:r>
        <w:t>&gt; ZAO A39 separately executes the distinct Afflicted and Crossed policies,</w:t>
      </w:r>
    </w:p>
    <w:p>
      <w:r>
        <w:t>&gt; settlement evidence, actor-private option choice, distinct maintenance and</w:t>
      </w:r>
    </w:p>
    <w:p>
      <w:r>
        <w:t>&gt; acute predatory results, exact ordinary/human-origin sustenance and selectively</w:t>
      </w:r>
    </w:p>
    <w:p>
      <w:r>
        <w:t>&gt; chosen weapon-blood mechanisms. C80 does not copy</w:t>
      </w:r>
    </w:p>
    <w:p>
      <w:r>
        <w:t>&gt; those policies into SAO. It supplies the body, county and native-action services</w:t>
      </w:r>
    </w:p>
    <w:p>
      <w:r>
        <w:t>&gt; under the sister's execution authority.</w:t>
      </w:r>
    </w:p>
    <w:p/>
    <w:p>
      <w:r>
        <w:t>**Implementation:** implemented scope recorded; corrections retained</w:t>
      </w:r>
    </w:p>
    <w:p/>
    <w:p>
      <w:r>
        <w:t>**Verification:** source-scoped evidence and limits retained in archived record</w:t>
      </w:r>
    </w:p>
    <w:p/>
    <w:p>
      <w:r>
        <w:t>**Publication:** committed-at-source-head</w:t>
      </w:r>
    </w:p>
    <w:p/>
    <w:p>
      <w:r>
        <w:t>**Original standing:** \| Status \| Closed implementation batch; complete Windows-runtime repository gate clean. \|</w:t>
      </w:r>
    </w:p>
    <w:p/>
    <w:p>
      <w:r>
        <w:t>**Remaining scope retained from the source:**</w:t>
      </w:r>
    </w:p>
    <w:p/>
    <w:p>
      <w:pPr>
        <w:pStyle w:val="ListBullet"/>
      </w:pPr>
      <w:r>
        <w:t>State-specific lives remain bounded; human shell/native diet ownership and private disease separation persist.</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