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C64 - Independent native cognition and physical capability evidence</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Product record</w:t>
            </w:r>
          </w:p>
        </w:tc>
      </w:tr>
      <w:tr>
        <w:tc>
          <w:tcPr>
            <w:tcW w:type="dxa" w:w="4320"/>
          </w:tcPr>
          <w:p>
            <w:r>
              <w:t>Batch</w:t>
            </w:r>
          </w:p>
        </w:tc>
        <w:tc>
          <w:tcPr>
            <w:tcW w:type="dxa" w:w="4320"/>
          </w:tcPr>
          <w:p>
            <w:r>
              <w:t>C64</w:t>
            </w:r>
          </w:p>
        </w:tc>
      </w:tr>
      <w:tr>
        <w:tc>
          <w:tcPr>
            <w:tcW w:type="dxa" w:w="4320"/>
          </w:tcPr>
          <w:p>
            <w:r>
              <w:t>Date</w:t>
            </w:r>
          </w:p>
        </w:tc>
        <w:tc>
          <w:tcPr>
            <w:tcW w:type="dxa" w:w="4320"/>
          </w:tcPr>
          <w:p>
            <w:r>
              <w:t>2026-09-27</w:t>
            </w:r>
          </w:p>
        </w:tc>
      </w:tr>
      <w:tr>
        <w:tc>
          <w:tcPr>
            <w:tcW w:type="dxa" w:w="4320"/>
          </w:tcPr>
          <w:p>
            <w:r>
              <w:t>Generation</w:t>
            </w:r>
          </w:p>
        </w:tc>
        <w:tc>
          <w:tcPr>
            <w:tcW w:type="dxa" w:w="4320"/>
          </w:tcPr>
          <w:p>
            <w:r>
              <w:t>20261005-product-consolidation</w:t>
            </w:r>
          </w:p>
        </w:tc>
      </w:tr>
      <w:tr>
        <w:tc>
          <w:tcPr>
            <w:tcW w:type="dxa" w:w="4320"/>
          </w:tcPr>
          <w:p>
            <w:r>
              <w:t>Source generation</w:t>
            </w:r>
          </w:p>
        </w:tc>
        <w:tc>
          <w:tcPr>
            <w:tcW w:type="dxa" w:w="4320"/>
          </w:tcPr>
          <w:p>
            <w:r>
              <w:t>20260919-through-C120</w:t>
            </w:r>
          </w:p>
        </w:tc>
      </w:tr>
      <w:tr>
        <w:tc>
          <w:tcPr>
            <w:tcW w:type="dxa" w:w="4320"/>
          </w:tcPr>
          <w:p>
            <w:r>
              <w:t>Source range</w:t>
            </w:r>
          </w:p>
        </w:tc>
        <w:tc>
          <w:tcPr>
            <w:tcW w:type="dxa" w:w="4320"/>
          </w:tcPr>
          <w:p>
            <w:r>
              <w:t>C88–C89</w:t>
            </w:r>
          </w:p>
        </w:tc>
      </w:tr>
      <w:tr>
        <w:tc>
          <w:tcPr>
            <w:tcW w:type="dxa" w:w="4320"/>
          </w:tcPr>
          <w:p>
            <w:r>
              <w:t>Tier</w:t>
            </w:r>
          </w:p>
        </w:tc>
        <w:tc>
          <w:tcPr>
            <w:tcW w:type="dxa" w:w="4320"/>
          </w:tcPr>
          <w:p>
            <w:r>
              <w:t>minor</w:t>
            </w:r>
          </w:p>
        </w:tc>
      </w:tr>
      <w:tr>
        <w:tc>
          <w:tcPr>
            <w:tcW w:type="dxa" w:w="4320"/>
          </w:tcPr>
          <w:p>
            <w:r>
              <w:t>Standing</w:t>
            </w:r>
          </w:p>
        </w:tc>
        <w:tc>
          <w:tcPr>
            <w:tcW w:type="dxa" w:w="4320"/>
          </w:tcPr>
          <w:p>
            <w:r>
              <w:t>Historical product synthesis; each component retains its exact implementation, verification, publication and remaining scope.</w:t>
            </w:r>
          </w:p>
        </w:tc>
      </w:tr>
    </w:tbl>
    <w:p/>
    <w:p>
      <w:pPr>
        <w:pStyle w:val="Heading2"/>
      </w:pPr>
      <w:r>
        <w:t>Product outcome</w:t>
      </w:r>
    </w:p>
    <w:p/>
    <w:p>
      <w:r>
        <w:t>Independent interpretations compete on the same frozen personal decision input and are evaluated against the actually selected native action. Personally observed capability and exact native appliance, pharmacology, pose and health owners keep offered possibilities connected to physical execution.</w:t>
      </w:r>
    </w:p>
    <w:p/>
    <w:p>
      <w:pPr>
        <w:pStyle w:val="Heading2"/>
      </w:pPr>
      <w:r>
        <w:t>Chronological product boundary</w:t>
      </w:r>
    </w:p>
    <w:p/>
    <w:p>
      <w:r>
        <w:t>The native competition experiment and its capability/execution corrections form one cognition-through-action outcome. Censored episodes, selected-model bias and bounded controlled/native trials cannot establish general policy superiority.</w:t>
      </w:r>
    </w:p>
    <w:p/>
    <w:p>
      <w:r>
        <w:t>Establishes a new player-visible capability or authoring/runtime contract. The native competition experiment and its capability/execution corrections form one cognition-through-action outcome. Censored episodes, selected-model bias and bounded controlled/native trials cannot establish general policy superiority.</w:t>
      </w:r>
    </w:p>
    <w:p/>
    <w:p>
      <w:pPr>
        <w:pStyle w:val="Heading2"/>
      </w:pPr>
      <w:r>
        <w:t>Source contributions and custody</w:t>
      </w:r>
    </w:p>
    <w:p/>
    <w:tbl>
      <w:tblPr>
        <w:tblStyle w:val="TableGrid"/>
        <w:tblW w:type="auto" w:w="0"/>
        <w:tblLook w:firstColumn="1" w:firstRow="1" w:lastColumn="0" w:lastRow="0" w:noHBand="0" w:noVBand="1" w:val="04A0"/>
      </w:tblPr>
      <w:tblGrid>
        <w:gridCol w:w="2880"/>
        <w:gridCol w:w="2880"/>
        <w:gridCol w:w="2880"/>
      </w:tblGrid>
      <w:tr>
        <w:tc>
          <w:tcPr>
            <w:tcW w:type="dxa" w:w="2880"/>
          </w:tcPr>
          <w:p>
            <w:r>
              <w:t>Original contribution</w:t>
            </w:r>
          </w:p>
        </w:tc>
        <w:tc>
          <w:tcPr>
            <w:tcW w:type="dxa" w:w="2880"/>
          </w:tcPr>
          <w:p>
            <w:r>
              <w:t>Exact immutable record</w:t>
            </w:r>
          </w:p>
        </w:tc>
        <w:tc>
          <w:tcPr>
            <w:tcW w:type="dxa" w:w="2880"/>
          </w:tcPr>
          <w:p>
            <w:r>
              <w:t>SHA-256</w:t>
            </w:r>
          </w:p>
        </w:tc>
      </w:tr>
      <w:tr>
        <w:tc>
          <w:tcPr>
            <w:tcW w:type="dxa" w:w="2880"/>
          </w:tcPr>
          <w:p>
            <w:r>
              <w:t>20260919-through-C120:C88 — Competing cognition</w:t>
            </w:r>
          </w:p>
        </w:tc>
        <w:tc>
          <w:tcPr>
            <w:tcW w:type="dxa" w:w="2880"/>
          </w:tcPr>
          <w:p>
            <w:r>
              <w:t>[Source record](../../Batches/history/c-20261003-source/Batches/C88-20260927-0208Z-1908PST-competing-cognition.md)</w:t>
            </w:r>
          </w:p>
        </w:tc>
        <w:tc>
          <w:tcPr>
            <w:tcW w:type="dxa" w:w="2880"/>
          </w:tcPr>
          <w:p>
            <w:r>
              <w:t>8e7607de96dab3e0ef652c6dad142ec6a16da4e778cdf1773df3812522ac7775</w:t>
            </w:r>
          </w:p>
        </w:tc>
      </w:tr>
      <w:tr>
        <w:tc>
          <w:tcPr>
            <w:tcW w:type="dxa" w:w="2880"/>
          </w:tcPr>
          <w:p>
            <w:r>
              <w:t>20260919-through-C120:C89 — Native perception and capabilities</w:t>
            </w:r>
          </w:p>
        </w:tc>
        <w:tc>
          <w:tcPr>
            <w:tcW w:type="dxa" w:w="2880"/>
          </w:tcPr>
          <w:p>
            <w:r>
              <w:t>[Source record](../../Batches/history/c-20261003-source/Batches/C89-20260927-0516Z-2216PST-native-perception-and-capabilities.md)</w:t>
            </w:r>
          </w:p>
        </w:tc>
        <w:tc>
          <w:tcPr>
            <w:tcW w:type="dxa" w:w="2880"/>
          </w:tcPr>
          <w:p>
            <w:r>
              <w:t>45891fa2db8ecbece5558691551789684aeeffdec3d4d913e0661f9eed706905</w:t>
            </w:r>
          </w:p>
        </w:tc>
      </w:tr>
    </w:tbl>
    <w:p/>
    <w:p>
      <w:r>
        <w:t>Each original contributes once to the product/version chronology. Its many-to-many shared-contract links remain in the unchanged ownership projection, and nonadjacent related work stays later in the chronology.</w:t>
      </w:r>
    </w:p>
    <w:p/>
    <w:p>
      <w:pPr>
        <w:pStyle w:val="Heading2"/>
      </w:pPr>
      <w:r>
        <w:t>Delivered mechanisms and evidence boundaries</w:t>
      </w:r>
    </w:p>
    <w:p/>
    <w:p>
      <w:r>
        <w:t>The following excerpts preserve the source prose; relative navigation is resolved from this product record. The exact original record above owns the full context, mechanisms, controls and corrections.</w:t>
      </w:r>
    </w:p>
    <w:p/>
    <w:p>
      <w:pPr>
        <w:pStyle w:val="Heading3"/>
      </w:pPr>
      <w:r>
        <w:t>20260919-through-C120:C88 — Competing cognition</w:t>
      </w:r>
    </w:p>
    <w:p/>
    <w:p>
      <w:r>
        <w:t>&gt; Two cognitive contestants form separate interpretations, proposals and</w:t>
      </w:r>
    </w:p>
    <w:p>
      <w:r>
        <w:t>&gt; pre-outcome predictions from shared actor-private evidence. Deterministic</w:t>
      </w:r>
    </w:p>
    <w:p>
      <w:r>
        <w:t>&gt; balanced selection gives each execution opportunities through existing physical</w:t>
      </w:r>
    </w:p>
    <w:p>
      <w:r>
        <w:t>&gt; owners. Ordinary cognition is a contestant; it does not validate the other</w:t>
      </w:r>
    </w:p>
    <w:p>
      <w:r>
        <w:t>&gt; model's hypotheses. Native outcomes and each model's revisions remain recorded</w:t>
      </w:r>
    </w:p>
    <w:p>
      <w:r>
        <w:t>&gt; for later downstream aggregate training.</w:t>
      </w:r>
    </w:p>
    <w:p/>
    <w:p>
      <w:r>
        <w:t>&gt; The action seam currently covers resource use, acquisition and inspection.</w:t>
      </w:r>
    </w:p>
    <w:p>
      <w:r>
        <w:t>&gt; Real native callbacks supply evidence; admission and route arrival do not.</w:t>
      </w:r>
    </w:p>
    <w:p>
      <w:r>
        <w:t>&gt; Semantic composition supports connected near and cross-domain conjectures with</w:t>
      </w:r>
    </w:p>
    <w:p>
      <w:r>
        <w:t>&gt; missing mechanisms. No conjecture grants implementation knowledge. Contradiction</w:t>
      </w:r>
    </w:p>
    <w:p>
      <w:r>
        <w:t>&gt; preserves branch identity and bounded revision history.</w:t>
      </w:r>
    </w:p>
    <w:p/>
    <w:p>
      <w:r>
        <w:t>&gt; The architecture section describes persistence, exact-once event identity,</w:t>
      </w:r>
    </w:p>
    <w:p>
      <w:r>
        <w:t>&gt; late-result binding, independent model state, counterbalanced selection and</w:t>
      </w:r>
    </w:p>
    <w:p>
      <w:r>
        <w:t>&gt; observation budgets. Mousecat compares both predictions for the performed action</w:t>
      </w:r>
    </w:p>
    <w:p>
      <w:r>
        <w:t>&gt; and exposes configuration only through source-applied commands. Speakeasy</w:t>
      </w:r>
    </w:p>
    <w:p>
      <w:r>
        <w:t>&gt; exports unreviewed, source-bound episodes with zero training rows.</w:t>
      </w:r>
    </w:p>
    <w:p/>
    <w:p>
      <w:r>
        <w:t>**Implementation:** implemented scope recorded; corrections retained</w:t>
      </w:r>
    </w:p>
    <w:p/>
    <w:p>
      <w:r>
        <w:t>**Verification:** source-scoped evidence and limits retained in archived record</w:t>
      </w:r>
    </w:p>
    <w:p/>
    <w:p>
      <w:r>
        <w:t>**Publication:** committed-at-source-head</w:t>
      </w:r>
    </w:p>
    <w:p/>
    <w:p>
      <w:r>
        <w:t>**Original standing:** Retain source narrative closure and evidence.</w:t>
      </w:r>
    </w:p>
    <w:p/>
    <w:p>
      <w:r>
        <w:t>**Remaining scope retained from the source:**</w:t>
      </w:r>
    </w:p>
    <w:p/>
    <w:p>
      <w:pPr>
        <w:pStyle w:val="ListBullet"/>
      </w:pPr>
      <w:r>
        <w:t>Native run had 15 associative outcomes versus 1348 censored ordinary choices, not superiority; continuation repairs candidate-independent planning.</w:t>
      </w:r>
    </w:p>
    <w:p/>
    <w:p>
      <w:pPr>
        <w:pStyle w:val="Heading3"/>
      </w:pPr>
      <w:r>
        <w:t>20260919-through-C120:C89 — Native perception and capabilities</w:t>
      </w:r>
    </w:p>
    <w:p/>
    <w:p>
      <w:r>
        <w:t>&gt; Admitted mechanisms operate inside SAO source. Actual auditory cues can produce</w:t>
      </w:r>
    </w:p>
    <w:p>
      <w:r>
        <w:t>&gt; head and body movement, actual owned item consumption changes native physiology,</w:t>
      </w:r>
    </w:p>
    <w:p>
      <w:r>
        <w:t>&gt; and visible appliances support physical preparation through native actions and</w:t>
      </w:r>
    </w:p>
    <w:p>
      <w:r>
        <w:t>&gt; heat. Those results join each person's retained capability context and the two</w:t>
      </w:r>
    </w:p>
    <w:p>
      <w:r>
        <w:t>&gt; independent cognitive contestants. SourceUse retains physical transfer authority.</w:t>
      </w:r>
    </w:p>
    <w:p/>
    <w:p>
      <w:r>
        <w:t>&gt; The architecture records lifecycle, private evidence, native ownership and</w:t>
      </w:r>
    </w:p>
    <w:p>
      <w:r>
        <w:t>&gt; observation. The producer catalogue records selected mechanisms and gaps.</w:t>
      </w:r>
    </w:p>
    <w:p>
      <w:r>
        <w:t>&gt; Source-owned pharmacology supports ordinary and living ZAO bodies across</w:t>
      </w:r>
    </w:p>
    <w:p>
      <w:r>
        <w:t>&gt; checkpoint, removal, dormant passage and reconstruction. Current ZAO Maintenance</w:t>
      </w:r>
    </w:p>
    <w:p>
      <w:r>
        <w:t>&gt; state is rolled back on a failed reconstruction; a missing owner refuses before</w:t>
      </w:r>
    </w:p>
    <w:p>
      <w:r>
        <w:t>&gt; allocating a replacement body.</w:t>
      </w:r>
    </w:p>
    <w:p/>
    <w:p>
      <w:r>
        <w:t>&gt; Accepted delivery also follows private information. Current private identity,</w:t>
      </w:r>
    </w:p>
    <w:p>
      <w:r>
        <w:t>&gt; fresh sight, exact native identity and floor admit a requester encounter.</w:t>
      </w:r>
    </w:p>
    <w:p>
      <w:r>
        <w:t>&gt; Otherwise the carrier uses the whole received destination. Route interruption</w:t>
      </w:r>
    </w:p>
    <w:p>
      <w:r>
        <w:t>&gt; and reload preserve the commitment and acquired cargo receipt. The retained</w:t>
      </w:r>
    </w:p>
    <w:p>
      <w:r>
        <w:t>&gt; procedure owns acquisition, carrying and delivery; general project decomposition</w:t>
      </w:r>
    </w:p>
    <w:p>
      <w:r>
        <w:t>&gt; and the collect-prepare-deliver join remain distinct work.</w:t>
      </w:r>
    </w:p>
    <w:p/>
    <w:p>
      <w:r>
        <w:t>**Implementation:** implemented scope recorded; corrections retained</w:t>
      </w:r>
    </w:p>
    <w:p/>
    <w:p>
      <w:r>
        <w:t>**Verification:** source-scoped evidence and limits retained in archived record</w:t>
      </w:r>
    </w:p>
    <w:p/>
    <w:p>
      <w:r>
        <w:t>**Publication:** committed-at-source-head</w:t>
      </w:r>
    </w:p>
    <w:p/>
    <w:p>
      <w:r>
        <w:t>**Original standing:** Retain source narrative closure and evidence.</w:t>
      </w:r>
    </w:p>
    <w:p/>
    <w:p>
      <w:r>
        <w:t>**Remaining scope retained from the source:**</w:t>
      </w:r>
    </w:p>
    <w:p/>
    <w:p>
      <w:pPr>
        <w:pStyle w:val="ListBullet"/>
      </w:pPr>
      <w:r>
        <w:t>One cooked mutton and partial social intake are not generic action choice or completed delivery; split named producers.</w:t>
      </w:r>
    </w:p>
    <w:p/>
    <w:p>
      <w:pPr>
        <w:pStyle w:val="Heading2"/>
      </w:pPr>
      <w:r>
        <w:t>Historical interpretation</w:t>
      </w:r>
    </w:p>
    <w:p/>
    <w:p>
      <w:r>
        <w:t>This record consolidates development substance and its supporting integration, verification and publication. It supplies no new runtime, native-trial, learned-policy, visual-acceptance or release-maturity credit. Historical failures, incomplete work, source corrections and later D-era outcomes retain their dated generation-qualified records.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