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C67 - Person-private purpose planning and native activation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Product record</w:t>
            </w:r>
          </w:p>
        </w:tc>
      </w:tr>
      <w:tr>
        <w:tc>
          <w:tcPr>
            <w:tcW w:type="dxa" w:w="4320"/>
          </w:tcPr>
          <w:p>
            <w:r>
              <w:t>Batch</w:t>
            </w:r>
          </w:p>
        </w:tc>
        <w:tc>
          <w:tcPr>
            <w:tcW w:type="dxa" w:w="4320"/>
          </w:tcPr>
          <w:p>
            <w:r>
              <w:t>C67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2026-09-28</w:t>
            </w:r>
          </w:p>
        </w:tc>
      </w:tr>
      <w:tr>
        <w:tc>
          <w:tcPr>
            <w:tcW w:type="dxa" w:w="4320"/>
          </w:tcPr>
          <w:p>
            <w:r>
              <w:t>Generation</w:t>
            </w:r>
          </w:p>
        </w:tc>
        <w:tc>
          <w:tcPr>
            <w:tcW w:type="dxa" w:w="4320"/>
          </w:tcPr>
          <w:p>
            <w:r>
              <w:t>20261005-product-consolidation</w:t>
            </w:r>
          </w:p>
        </w:tc>
      </w:tr>
      <w:tr>
        <w:tc>
          <w:tcPr>
            <w:tcW w:type="dxa" w:w="4320"/>
          </w:tcPr>
          <w:p>
            <w:r>
              <w:t>Source generation</w:t>
            </w:r>
          </w:p>
        </w:tc>
        <w:tc>
          <w:tcPr>
            <w:tcW w:type="dxa" w:w="4320"/>
          </w:tcPr>
          <w:p>
            <w:r>
              <w:t>20260919-through-C120</w:t>
            </w:r>
          </w:p>
        </w:tc>
      </w:tr>
      <w:tr>
        <w:tc>
          <w:tcPr>
            <w:tcW w:type="dxa" w:w="4320"/>
          </w:tcPr>
          <w:p>
            <w:r>
              <w:t>Source range</w:t>
            </w:r>
          </w:p>
        </w:tc>
        <w:tc>
          <w:tcPr>
            <w:tcW w:type="dxa" w:w="4320"/>
          </w:tcPr>
          <w:p>
            <w:r>
              <w:t>C95–C96</w:t>
            </w:r>
          </w:p>
        </w:tc>
      </w:tr>
      <w:tr>
        <w:tc>
          <w:tcPr>
            <w:tcW w:type="dxa" w:w="4320"/>
          </w:tcPr>
          <w:p>
            <w:r>
              <w:t>Tier</w:t>
            </w:r>
          </w:p>
        </w:tc>
        <w:tc>
          <w:tcPr>
            <w:tcW w:type="dxa" w:w="4320"/>
          </w:tcPr>
          <w:p>
            <w:r>
              <w:t>minor</w:t>
            </w:r>
          </w:p>
        </w:tc>
      </w:tr>
      <w:tr>
        <w:tc>
          <w:tcPr>
            <w:tcW w:type="dxa" w:w="4320"/>
          </w:tcPr>
          <w:p>
            <w:r>
              <w:t>Standing</w:t>
            </w:r>
          </w:p>
        </w:tc>
        <w:tc>
          <w:tcPr>
            <w:tcW w:type="dxa" w:w="4320"/>
          </w:tcPr>
          <w:p>
            <w:r>
              <w:t>Historical product synthesis; each component retains its exact implementation, verification, publication and remaining scope.</w:t>
            </w:r>
          </w:p>
        </w:tc>
      </w:tr>
    </w:tbl>
    <w:p/>
    <w:p>
      <w:pPr>
        <w:pStyle w:val="Heading2"/>
      </w:pPr>
      <w:r>
        <w:t>Product outcome</w:t>
      </w:r>
    </w:p>
    <w:p/>
    <w:p>
      <w:r>
        <w:t>One durable private planner maintains objectives, prerequisites, uncertainty, interruption and exact results across ordinary decisions and saving. Installed-engine loading, observer and cohort corrections permit the planned actors and their current native actions to be observed together.</w:t>
      </w:r>
    </w:p>
    <w:p/>
    <w:p>
      <w:pPr>
        <w:pStyle w:val="Heading2"/>
      </w:pPr>
      <w:r>
        <w:t>Chronological product boundary</w:t>
      </w:r>
    </w:p>
    <w:p/>
    <w:p>
      <w:r>
        <w:t>The general maintained-purpose runtime and its current-engine activation are one delivery arc. Mechanical planner proof and an unreviewed loaded specimen remain separate evidence; later native reading repairs retain their own chronology.</w:t>
      </w:r>
    </w:p>
    <w:p/>
    <w:p>
      <w:r>
        <w:t>Establishes a new player-visible capability or authoring/runtime contract. The general maintained-purpose runtime and its current-engine activation are one delivery arc. Mechanical planner proof and an unreviewed loaded specimen remain separate evidence; later native reading repairs retain their own chronology.</w:t>
      </w:r>
    </w:p>
    <w:p/>
    <w:p>
      <w:pPr>
        <w:pStyle w:val="Heading2"/>
      </w:pPr>
      <w:r>
        <w:t>Source contributions and custody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Original contribution</w:t>
            </w:r>
          </w:p>
        </w:tc>
        <w:tc>
          <w:tcPr>
            <w:tcW w:type="dxa" w:w="2880"/>
          </w:tcPr>
          <w:p>
            <w:r>
              <w:t>Exact immutable record</w:t>
            </w:r>
          </w:p>
        </w:tc>
        <w:tc>
          <w:tcPr>
            <w:tcW w:type="dxa" w:w="2880"/>
          </w:tcPr>
          <w:p>
            <w:r>
              <w:t>SHA-256</w:t>
            </w:r>
          </w:p>
        </w:tc>
      </w:tr>
      <w:tr>
        <w:tc>
          <w:tcPr>
            <w:tcW w:type="dxa" w:w="2880"/>
          </w:tcPr>
          <w:p>
            <w:r>
              <w:t>20260919-through-C120:C95 — Person-private procedural planning</w:t>
            </w:r>
          </w:p>
        </w:tc>
        <w:tc>
          <w:tcPr>
            <w:tcW w:type="dxa" w:w="2880"/>
          </w:tcPr>
          <w:p>
            <w:r>
              <w:t>[Source record](../../Batches/history/c-20261003-source/Batches/C95-20260928-1021Z-0321PDT-person-private-procedural-planning.md)</w:t>
            </w:r>
          </w:p>
        </w:tc>
        <w:tc>
          <w:tcPr>
            <w:tcW w:type="dxa" w:w="2880"/>
          </w:tcPr>
          <w:p>
            <w:r>
              <w:t>c733883a3a0b2d705908eb267034ae3feb538959a8828824c29debc425acf4b6</w:t>
            </w:r>
          </w:p>
        </w:tc>
      </w:tr>
      <w:tr>
        <w:tc>
          <w:tcPr>
            <w:tcW w:type="dxa" w:w="2880"/>
          </w:tcPr>
          <w:p>
            <w:r>
              <w:t>20260919-through-C120:C96 — Current-engine study activation</w:t>
            </w:r>
          </w:p>
        </w:tc>
        <w:tc>
          <w:tcPr>
            <w:tcW w:type="dxa" w:w="2880"/>
          </w:tcPr>
          <w:p>
            <w:r>
              <w:t>[Source record](../../Batches/history/c-20261003-source/Batches/C96-20260928-2010Z-1310PDT-current-engine-study-activation.md)</w:t>
            </w:r>
          </w:p>
        </w:tc>
        <w:tc>
          <w:tcPr>
            <w:tcW w:type="dxa" w:w="2880"/>
          </w:tcPr>
          <w:p>
            <w:r>
              <w:t>1a729f7cebbdb2319a6b3a2bd12d79a3318561fcd3c4e0ece9fdc0557b0655c2</w:t>
            </w:r>
          </w:p>
        </w:tc>
      </w:tr>
    </w:tbl>
    <w:p/>
    <w:p>
      <w:r>
        <w:t>Each original contributes once to the product/version chronology. Its many-to-many shared-contract links remain in the unchanged ownership projection, and nonadjacent related work stays later in the chronology.</w:t>
      </w:r>
    </w:p>
    <w:p/>
    <w:p>
      <w:pPr>
        <w:pStyle w:val="Heading2"/>
      </w:pPr>
      <w:r>
        <w:t>Delivered mechanisms and evidence boundaries</w:t>
      </w:r>
    </w:p>
    <w:p/>
    <w:p>
      <w:r>
        <w:t>The following excerpts preserve the source prose; relative navigation is resolved from this product record. The exact original record above owns the full context, mechanisms, controls and corrections.</w:t>
      </w:r>
    </w:p>
    <w:p/>
    <w:p>
      <w:pPr>
        <w:pStyle w:val="Heading3"/>
      </w:pPr>
      <w:r>
        <w:t>20260919-through-C120:C95 — Person-private procedural planning</w:t>
      </w:r>
    </w:p>
    <w:p/>
    <w:p>
      <w:r>
        <w:t>&gt; C95 introduces one general planner between private cognition and native action.</w:t>
      </w:r>
    </w:p>
    <w:p>
      <w:r>
        <w:t>&gt; It preserves a person's objective, prerequisites, blockers, interruption,</w:t>
      </w:r>
    </w:p>
    <w:p>
      <w:r>
        <w:t>&gt; revision and next exact result across ordinary decision ticks and save data.</w:t>
      </w:r>
    </w:p>
    <w:p>
      <w:r>
        <w:t>&gt; The planner does not execute a verb or grant competence. Native movement,</w:t>
      </w:r>
    </w:p>
    <w:p>
      <w:r>
        <w:t>&gt; posture, reading, construction and gesture owners retain those effects.</w:t>
      </w:r>
    </w:p>
    <w:p/>
    <w:p>
      <w:r>
        <w:t>&gt; Spatial facts belong to the person who acquired them. They retain provenance,</w:t>
      </w:r>
    </w:p>
    <w:p>
      <w:r>
        <w:t>&gt; confidence, familiarity and decay. Claim surveys establish aggregate home-ground</w:t>
      </w:r>
    </w:p>
    <w:p>
      <w:r>
        <w:t>&gt; knowledge; exact entry inspection establishes a boardable aperture. Tactical</w:t>
      </w:r>
    </w:p>
    <w:p>
      <w:r>
        <w:t>&gt; withdrawal uses known cover, broken line of sight and route familiarity when</w:t>
      </w:r>
    </w:p>
    <w:p>
      <w:r>
        <w:t>&gt; available, with geometric retreat retained as an emergency fallback.</w:t>
      </w:r>
    </w:p>
    <w:p/>
    <w:p>
      <w:r>
        <w:t>&gt; The skill profile reads numeric Project Zomboid perk levels. Study plans locate</w:t>
      </w:r>
    </w:p>
    <w:p>
      <w:r>
        <w:t>&gt; the appropriate literature, account for literacy, reading traits and fatigue,</w:t>
      </w:r>
    </w:p>
    <w:p>
      <w:r>
        <w:t>&gt; retain the learning purpose and require later practice. Native literature queue</w:t>
      </w:r>
    </w:p>
    <w:p>
      <w:r>
        <w:t>&gt; admission does not advance knowledge because the current adapter does not expose</w:t>
      </w:r>
    </w:p>
    <w:p>
      <w:r>
        <w:t>&gt; page completion. Fortification advances only from exact survey and engine</w:t>
      </w:r>
    </w:p>
    <w:p>
      <w:r>
        <w:t>&gt; barricade results. Instrument leisure requires a carried affordance and physical</w:t>
      </w:r>
    </w:p>
    <w:p>
      <w:r>
        <w:t>&gt; site; reciprocal social reward reaches only people whose bodies actually join</w:t>
      </w:r>
    </w:p>
    <w:p>
      <w:r>
        <w:t>&gt; the performance.</w:t>
      </w:r>
    </w:p>
    <w:p/>
    <w:p>
      <w:r>
        <w:t>**Implementation:** implemented scope recorded; corrections retained</w:t>
      </w:r>
    </w:p>
    <w:p/>
    <w:p>
      <w:r>
        <w:t>**Verification:** source-scoped evidence and limits retained in archived record</w:t>
      </w:r>
    </w:p>
    <w:p/>
    <w:p>
      <w:r>
        <w:t>**Publication:** committed-at-source-head</w:t>
      </w:r>
    </w:p>
    <w:p/>
    <w:p>
      <w:r>
        <w:t>**Original standing:** \| Status \| Closed mechanically; loaded behavioral evaluation remains unreviewed. \|</w:t>
      </w:r>
    </w:p>
    <w:p/>
    <w:p>
      <w:r>
        <w:t>**Remaining scope retained from the source:**</w:t>
      </w:r>
    </w:p>
    <w:p/>
    <w:p>
      <w:pPr>
        <w:pStyle w:val="ListBullet"/>
      </w:pPr>
      <w:r>
        <w:t>Purpose state is not executor competence; native reading/acquisition/production and shared predictions are later joins.</w:t>
      </w:r>
    </w:p>
    <w:p/>
    <w:p>
      <w:pPr>
        <w:pStyle w:val="Heading3"/>
      </w:pPr>
      <w:r>
        <w:t>20260919-through-C120:C96 — Current-engine study activation</w:t>
      </w:r>
    </w:p>
    <w:p/>
    <w:p>
      <w:r>
        <w:t>&gt; Steam replaced the installed 42.21 engine jar without changing its displayed</w:t>
      </w:r>
    </w:p>
    <w:p>
      <w:r>
        <w:t>&gt; version. Loose pre-update engine classes then shadowed the current jar and</w:t>
      </w:r>
    </w:p>
    <w:p>
      <w:r>
        <w:t>&gt; failed on the removed `ImageUtils` type. The loose class directory was moved</w:t>
      </w:r>
    </w:p>
    <w:p>
      <w:r>
        <w:t>&gt; intact into the isolated study archive; no installed jar or media file changed.</w:t>
      </w:r>
    </w:p>
    <w:p/>
    <w:p>
      <w:r>
        <w:t>&gt; The study runner now declares its sealed mod ids to the loading agent. The</w:t>
      </w:r>
    </w:p>
    <w:p>
      <w:r>
        <w:t>&gt; agent selects that cohort before client Lua loads, and the launch scenario</w:t>
      </w:r>
    </w:p>
    <w:p>
      <w:r>
        <w:t>&gt; copies the same cohort into `currentGame` so native saves retain it. Late-loaded</w:t>
      </w:r>
    </w:p>
    <w:p>
      <w:r>
        <w:t>&gt; study Lua configures after the one-shot boot event has closed, and the current</w:t>
      </w:r>
    </w:p>
    <w:p>
      <w:r>
        <w:t>&gt; `setOptionPauseOnFocusloss` API replaces the retired focus-loss method while</w:t>
      </w:r>
    </w:p>
    <w:p>
      <w:r>
        <w:t>&gt; retaining compatibility with the earlier spelling. SAO and generated study</w:t>
      </w:r>
    </w:p>
    <w:p>
      <w:r>
        <w:t>&gt; metadata admit installed Build 42.21.</w:t>
      </w:r>
    </w:p>
    <w:p/>
    <w:p>
      <w:r>
        <w:t>&gt; The installed engine also changed far-region actor publication from direct</w:t>
      </w:r>
    </w:p>
    <w:p>
      <w:r>
        <w:t>&gt; `Set.add` to `IsoCell.addMovingObject`. Both routes remain guarded: the older</w:t>
      </w:r>
    </w:p>
    <w:p>
      <w:r>
        <w:t>&gt; bytecode receives the explicit substitution and the current route passes</w:t>
      </w:r>
    </w:p>
    <w:p>
      <w:r>
        <w:t>&gt; through the installed actor-set admission owner. The native probe now accepts</w:t>
      </w:r>
    </w:p>
    <w:p>
      <w:r>
        <w:t>&gt; either verified engine route while its observer-admission mutation still</w:t>
      </w:r>
    </w:p>
    <w:p>
      <w:r>
        <w:t>&gt; fails.</w:t>
      </w:r>
    </w:p>
    <w:p/>
    <w:p>
      <w:r>
        <w:t>**Implementation:** implemented scope recorded; corrections retained</w:t>
      </w:r>
    </w:p>
    <w:p/>
    <w:p>
      <w:r>
        <w:t>**Verification:** source-scoped evidence and limits retained in archived record</w:t>
      </w:r>
    </w:p>
    <w:p/>
    <w:p>
      <w:r>
        <w:t>**Publication:** committed-at-source-head</w:t>
      </w:r>
    </w:p>
    <w:p/>
    <w:p>
      <w:r>
        <w:t>**Original standing:** \| Status \| Closed mechanically; loaded behavioral evaluation remains unreviewed. \|</w:t>
      </w:r>
    </w:p>
    <w:p/>
    <w:p>
      <w:r>
        <w:t>**Remaining scope retained from the source:**</w:t>
      </w:r>
    </w:p>
    <w:p/>
    <w:p>
      <w:pPr>
        <w:pStyle w:val="ListBullet"/>
      </w:pPr>
      <w:r>
        <w:t>Loaded 20-hour run exposes missing purpose producers; engine activation is not behavior acceptance.</w:t>
      </w:r>
    </w:p>
    <w:p/>
    <w:p>
      <w:pPr>
        <w:pStyle w:val="Heading2"/>
      </w:pPr>
      <w:r>
        <w:t>Historical interpretation</w:t>
      </w:r>
    </w:p>
    <w:p/>
    <w:p>
      <w:r>
        <w:t>This record consolidates development substance and its supporting integration, verification and publication. It supplies no new runtime, native-trial, learned-policy, visual-acceptance or release-maturity credit. Historical failures, incomplete work, source corrections and later D-era outcomes retain their dated generation-qualified records.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