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C81 - Shared native furniture movement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C81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2026-10-03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C117–C117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kohai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The installed player furniture path preserves animation and physical ownership while exact pending identity, complete footprint/contents and native destination instances establish measured relocation. Utility adapters preserve their own supported state.</w:t>
      </w:r>
    </w:p>
    <w:p/>
    <w:p>
      <w:pPr>
        <w:pStyle w:val="Heading2"/>
      </w:pPr>
      <w:r>
        <w:t>Chronological product boundary</w:t>
      </w:r>
    </w:p>
    <w:p/>
    <w:p>
      <w:r>
        <w:t>This matures an installed physical furniture mechanic. It does not grant NPC planning, private practice or broader utility acceptance.</w:t>
      </w:r>
    </w:p>
    <w:p/>
    <w:p>
      <w:r>
        <w:t>Extends, integrates or structurally matures an existing capability. This matures an installed physical furniture mechanic. It does not grant NPC planning, private practice or broader utility acceptance.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20260919-through-C120:C117 — Shared furniture movement</w:t>
            </w:r>
          </w:p>
        </w:tc>
        <w:tc>
          <w:tcPr>
            <w:tcW w:type="dxa" w:w="2880"/>
          </w:tcPr>
          <w:p>
            <w:r>
              <w:t>[Source record](../../Batches/history/c-20261003-source/Batches/C117-20261003-0930Z-0230PST-shared-furniture-movement.md)</w:t>
            </w:r>
          </w:p>
        </w:tc>
        <w:tc>
          <w:tcPr>
            <w:tcW w:type="dxa" w:w="2880"/>
          </w:tcPr>
          <w:p>
            <w:r>
              <w:t>1a998b809f6ac94e18daa32fc1b62efbac02ba123949d65ae925ddc9e5153f76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20260919-through-C120:C117 — Shared furniture movement</w:t>
      </w:r>
    </w:p>
    <w:p/>
    <w:p>
      <w:r>
        <w:t>&gt; The optional installed single-player furniture push/pull path gains exact</w:t>
      </w:r>
    </w:p>
    <w:p>
      <w:r>
        <w:t>&gt; pending identity and measured physical completion. The installed module keeps</w:t>
      </w:r>
    </w:p>
    <w:p>
      <w:r>
        <w:t>&gt; animation, native relocation, inventory transfer, effort and feedback. A bounded</w:t>
      </w:r>
    </w:p>
    <w:p>
      <w:r>
        <w:t>&gt; SAO queue owns the delayed push because the installed private queue has no</w:t>
      </w:r>
    </w:p>
    <w:p>
      <w:r>
        <w:t>&gt; cancellation identity and later resolves by coordinates and sprite. The original</w:t>
      </w:r>
    </w:p>
    <w:p>
      <w:r>
        <w:t>&gt; animation runs with that queue disabled, leaving one physical move owner.</w:t>
      </w:r>
    </w:p>
    <w:p/>
    <w:p>
      <w:r>
        <w:t>&gt; Each move captures actor, cell, source object, entire footprint, target squares</w:t>
      </w:r>
    </w:p>
    <w:p>
      <w:r>
        <w:t>&gt; and exact contents including nested inventories. Physical execution rechecks</w:t>
      </w:r>
    </w:p>
    <w:p>
      <w:r>
        <w:t>&gt; those captures. Pickup and placement may replace IsoObjects; completion therefore</w:t>
      </w:r>
    </w:p>
    <w:p>
      <w:r>
        <w:t>&gt; requires removed originals, unique new destination members and the same actual</w:t>
      </w:r>
    </w:p>
    <w:p>
      <w:r>
        <w:t>&gt; InventoryItem instances. Partial effects and rescued contents do not count as</w:t>
      </w:r>
    </w:p>
    <w:p>
      <w:r>
        <w:t>&gt; completed relocation. Multi-part delegation measures one outer operation.</w:t>
      </w:r>
    </w:p>
    <w:p/>
    <w:p>
      <w:r>
        <w:t>&gt; Native carry wrappers and object events retain LG plumbing/electricity ownership.</w:t>
      </w:r>
    </w:p>
    <w:p>
      <w:r>
        <w:t>&gt; A bath registered with its tub system refuses before effects. Optional WaterPipes</w:t>
      </w:r>
    </w:p>
    <w:p>
      <w:r>
        <w:t>&gt; support is bounded to verified empty native fixtures and empty compatible virtual</w:t>
      </w:r>
    </w:p>
    <w:p>
      <w:r>
        <w:t>&gt; registrations, preserving registration properties while its owning commands</w:t>
      </w:r>
    </w:p>
    <w:p>
      <w:r>
        <w:t>&gt; relocate the state with the actual actor. Unsupported water state and unrelated</w:t>
      </w:r>
    </w:p>
    <w:p>
      <w:r>
        <w:t>&gt; destination registration refuse before movement. General bathing eligibility</w:t>
      </w:r>
    </w:p>
    <w:p>
      <w:r>
        <w:t>&gt; composition and broader utility mechanics remain open.</w:t>
      </w:r>
    </w:p>
    <w:p/>
    <w:p>
      <w:r>
        <w:t>**Implementation:** implemented scope recorded; corrections retained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\| Status \| Closed source batch; loaded acceptance remains open \|</w:t>
      </w:r>
    </w:p>
    <w:p/>
    <w:p>
      <w:r>
        <w:t>**Remaining scope retained from the source:**</w:t>
      </w:r>
    </w:p>
    <w:p/>
    <w:p>
      <w:pPr>
        <w:pStyle w:val="ListBullet"/>
      </w:pPr>
      <w:r>
        <w:t>Player caller/controlled proof do not implement NPC furniture purpose/learning or loaded plumbing callbacks; unsupported wet/registered cases refuse.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