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personal observations,</w:t>
      </w:r>
    </w:p>
    <w:p>
      <w:r>
        <w:t>acquired knowledge, ordinary-life priors and defeasible conceptual inference.</w:t>
      </w:r>
    </w:p>
    <w:p>
      <w:r>
        <w:t>DR-056 ratifies associations among situations, objects, activities and effects</w:t>
      </w:r>
    </w:p>
    <w:p>
      <w:r>
        <w:t>as a basis for anticipating possibilities and investigating what remains unknown.</w:t>
      </w:r>
    </w:p>
    <w:p>
      <w:r>
        <w:t>Particular local facts retain their acquisition source; inferred possibilities</w:t>
      </w:r>
    </w:p>
    <w:p>
      <w:r>
        <w:t>retain their uncertainty.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Person-owned knowledge supports this four-pillar composition. It retains general</w:t>
      </w:r>
    </w:p>
    <w:p>
      <w:r>
        <w:t>and learned associations with provenance; bounded inference proposes possible</w:t>
      </w:r>
    </w:p>
    <w:p>
      <w:r>
        <w:t>means and unresolved questions. Perception supplies particular acquired facts,</w:t>
      </w:r>
    </w:p>
    <w:p>
      <w:r>
        <w:t>Disposition and accepted purposes determine what matters, Standing governs</w:t>
      </w:r>
    </w:p>
    <w:p>
      <w:r>
        <w:t>permission, and Execution owns the physical attempt and its result. A house can</w:t>
      </w:r>
    </w:p>
    <w:p>
      <w:r>
        <w:t>suggest a bedroom and a bed without establishing that either exists at a local</w:t>
      </w:r>
    </w:p>
    <w:p>
      <w:r>
        <w:t>coordinate. Observation and experience can refine those expectations.</w:t>
      </w:r>
    </w:p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Particular local facts come from personal</w:t>
      </w:r>
    </w:p>
    <w:p>
      <w:r>
        <w:t xml:space="preserve">  acquisition. General knowledge and defeasible inference can motivate inquiry</w:t>
      </w:r>
    </w:p>
    <w:p>
      <w:r>
        <w:t xml:space="preserve">  without manufacturing observed rooms, contents, coordinates or permission.</w:t>
      </w:r>
    </w:p>
    <w:p>
      <w:r>
        <w:t xml:space="preserve">  Ignoring a perceived threat and acting on fabricated local facts are both faults.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