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Roadmap</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ROADMAP.md</w:t>
            </w:r>
          </w:p>
        </w:tc>
      </w:tr>
      <w:tr>
        <w:tc>
          <w:tcPr>
            <w:tcW w:type="dxa" w:w="4968"/>
          </w:tcPr>
          <w:p>
            <w:r>
              <w:t>Status</w:t>
            </w:r>
          </w:p>
        </w:tc>
        <w:tc>
          <w:tcPr>
            <w:tcW w:type="dxa" w:w="4968"/>
          </w:tcPr>
          <w:p>
            <w:r>
              <w:t>CANONICAL - readiness work and retained scope.</w:t>
            </w:r>
          </w:p>
        </w:tc>
      </w:tr>
    </w:tbl>
    <w:p>
      <w:pPr>
        <w:pStyle w:val="Title"/>
      </w:pPr>
      <w:r>
        <w:t>Roadmap</w:t>
      </w:r>
    </w:p>
    <w:p>
      <w:r>
        <w:t>The intended progression is mechanical readiness across the simulation, Speakeasy training and runtime integration, then tuning toward first play. This follows Speakeasy RECORD entry 45. Batch closure and a green gate do not establish readiness where causal mechanisms are missing or contradicted by evidence. SESSION_STATE.md states the current assessment.</w:t>
      </w:r>
    </w:p>
    <w:p>
      <w:pPr>
        <w:pStyle w:val="Heading1"/>
      </w:pPr>
      <w:r>
        <w:t>Border compression and private unified project</w:t>
      </w:r>
    </w:p>
    <w:p>
      <w:r>
        <w:t>DR-041 sets the immediate continuation after C56: compress the mod's borders, following the A/B/C consolidation precedent, then work toward one private unified mod/project across SAO, ZAO and Speakeasy's runtime artifacts. The existing R contracts remain the implementation obligations.</w:t>
      </w:r>
    </w:p>
    <w:p>
      <w:r>
        <w:t>DR-042 selects whole-mod runtime restructuring. The restructuring plan maps all 100 Lua/Java source files and 188 gate entry points, the current ownership concentrations, the intended responsibility boundaries and migration order. Behavioral contracts join production owners, cases and defect controls; former-border and source crosswalks preserve provenance. C57 implements the first unit: a shared body snapshot contract and consolidated native verification. C58 completes population reconstruction and scheduling: separate admission, representation, physical-observation and dormant owners under History, with explicit callback replacement and world reset. C60 closes the loaded R6 repair. C61 closes R10a's native ground: demand-led chunk hydration, persistent source identity, exact private observations, bounded reservation state and loaded reconciliation. C62 closes the selected actor-specific source proof across R6, R7 and R9: approach, current access, exact transfer, carried native use and durable result. C63 consumes that result through exact source attribution and acknowledges last. C64 corrects the attribution to remain partial, follows later native change without minting work, and retires C63's unsupported aggregate claims and storage. It also closes the immutable capture envelope and exact cross-repository join boundary. C65 exposes real food/water source options and exact selection, and captures that choice with its immediate action result when the executor is loaded. C66 adds native acquisition/storage under that owner and capture, while Speakeasy adds decision-time views and unratified proposals. Broader options, curated acquisition, ratification and later consequences remain R11-R12 work. Existing R work moves with its owning contract.</w:t>
      </w:r>
    </w:p>
    <w:p>
      <w:r>
        <w:t>Private assembly follows a cross-module inventory of loading, Java entry points, save identity, settings, model artifacts and integration evidence. That inventory determines the source layout and packaging plan before assembly.</w:t>
      </w:r>
    </w:p>
    <w:p>
      <w:pPr>
        <w:pStyle w:val="Heading1"/>
      </w:pPr>
      <w:r>
        <w:t>Implementation contracts after C56</w:t>
      </w:r>
    </w:p>
    <w:p>
      <w:r>
        <w:t>The work below is the ratified sequence; each row states whether it is closed or still planned. Each item names an implementation owner, its dependency and the evidence required to close it. The detailed mechanisms and bounded investigations are in SUBSTRATE.md. R identifiers refer to work in this plan; batch identifiers follow coherent implementation units when those units close. They do not reserve future batches.</w:t>
      </w:r>
    </w:p>
    <w:p>
      <w:r>
        <w:t>Implementation dependencies carried through restructuring: R1 closed in SAO C52 / ZAO A35, R2 in C53, R3 in C54, R4 in C55 / ZAO A36 and R5 in C56 / ZAO A37. C61 closes R10a's native-ground producer, C62 closes R6 plus R7's exact-source action slice, and C63-C64 close consumption of that exact result into a bounded partial-source projection with later native reconciliation. C66 supplies performed acquisition and storage. R9 remains open for recipient recognition, complete inventory and the other provisioning/development producers. C64 closes R11's immutable envelope and join integrity plus R12's protected-source audit; both contracts remain open for their substantive data producers and views.</w:t>
      </w:r>
    </w:p>
    <w:p>
      <w:r>
        <w:t>R1's evidence record names the implemented mechanisms, controls, native-source continuation and the selected critical-but-injured recovery rule. C53's Border 168 and the retained Border 160 close current substep time, unit conversion, native pacing and partial catch-up/reload. Neither batch is a loaded-world play receipt. Remaining technical investigations have named outputs below; they are part of the work, rather than indefinite deferrals.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Work and owner</w:t>
            </w:r>
          </w:p>
        </w:tc>
        <w:tc>
          <w:tcPr>
            <w:tcW w:type="dxa" w:w="3312"/>
          </w:tcPr>
          <w:p>
            <w:r>
              <w:rPr>
                <w:b/>
              </w:rPr>
              <w:t>Depends on</w:t>
            </w:r>
          </w:p>
        </w:tc>
        <w:tc>
          <w:tcPr>
            <w:tcW w:type="dxa" w:w="3312"/>
          </w:tcPr>
          <w:p>
            <w:r>
              <w:rPr>
                <w:b/>
              </w:rPr>
              <w:t>Implementation and completion evidence</w:t>
            </w:r>
          </w:p>
        </w:tc>
      </w:tr>
      <w:tr>
        <w:tc>
          <w:tcPr>
            <w:tcW w:type="dxa" w:w="3312"/>
          </w:tcPr>
          <w:p>
            <w:r>
              <w:t>R1. Authorized return — SAO + ZAO (closed C52/A35)</w:t>
            </w:r>
          </w:p>
        </w:tc>
        <w:tc>
          <w:tcPr>
            <w:tcW w:type="dxa" w:w="3312"/>
          </w:tcPr>
          <w:p>
            <w:r>
              <w:t>C51</w:t>
            </w:r>
          </w:p>
        </w:tc>
        <w:tc>
          <w:tcPr>
            <w:tcW w:type="dxa" w:w="3312"/>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3312"/>
          </w:tcPr>
          <w:p>
            <w:r>
              <w:t>R2. Shared time — SAO; ZAO consumers (closed C53)</w:t>
            </w:r>
          </w:p>
        </w:tc>
        <w:tc>
          <w:tcPr>
            <w:tcW w:type="dxa" w:w="3312"/>
          </w:tcPr>
          <w:p>
            <w:r>
              <w:t>C51</w:t>
            </w:r>
          </w:p>
        </w:tc>
        <w:tc>
          <w:tcPr>
            <w:tcW w:type="dxa" w:w="3312"/>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3312"/>
          </w:tcPr>
          <w:p>
            <w:r>
              <w:t>R3. Complete person persistence — SAO (closed C54)</w:t>
            </w:r>
          </w:p>
        </w:tc>
        <w:tc>
          <w:tcPr>
            <w:tcW w:type="dxa" w:w="3312"/>
          </w:tcPr>
          <w:p>
            <w:r>
              <w:t>C51; R2 for next-update proof</w:t>
            </w:r>
          </w:p>
        </w:tc>
        <w:tc>
          <w:tcPr>
            <w:tcW w:type="dxa" w:w="3312"/>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3312"/>
          </w:tcPr>
          <w:p>
            <w:r>
              <w:t>R4. Durable/runtime ownership — SAO + ZAO (closed C55/A36)</w:t>
            </w:r>
          </w:p>
        </w:tc>
        <w:tc>
          <w:tcPr>
            <w:tcW w:type="dxa" w:w="3312"/>
          </w:tcPr>
          <w:p>
            <w:r>
              <w:t>R1-R3</w:t>
            </w:r>
          </w:p>
        </w:tc>
        <w:tc>
          <w:tcPr>
            <w:tcW w:type="dxa" w:w="3312"/>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3312"/>
          </w:tcPr>
          <w:p>
            <w:r>
              <w:t>R5. Health and dormant physiology — SAO + ZAO (closed C56/A37)</w:t>
            </w:r>
          </w:p>
        </w:tc>
        <w:tc>
          <w:tcPr>
            <w:tcW w:type="dxa" w:w="3312"/>
          </w:tcPr>
          <w:p>
            <w:r>
              <w:t>R2-R3; R4 for persistence</w:t>
            </w:r>
          </w:p>
        </w:tc>
        <w:tc>
          <w:tcPr>
            <w:tcW w:type="dxa" w:w="3312"/>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food and drink use native partial consumption with nested access, nutrition, spoilage and quantity conservation. A completed, interruptible non-feeding blood action is the sole Afflicted conversion producer; its exact-once result transfers the same human shell and dormant envelope from SAO to ZAO. Borders 162-163 and 171-175 plus ZAO Borders 5, 9 and 10 cover the mechanism and controls.</w:t>
            </w:r>
          </w:p>
        </w:tc>
      </w:tr>
      <w:tr>
        <w:tc>
          <w:tcPr>
            <w:tcW w:type="dxa" w:w="3312"/>
          </w:tcPr>
          <w:p>
            <w:r>
              <w:t>R10a. World sources and reconciliation — SAO (native grounding closed C61)</w:t>
            </w:r>
          </w:p>
        </w:tc>
        <w:tc>
          <w:tcPr>
            <w:tcW w:type="dxa" w:w="3312"/>
          </w:tcPr>
          <w:p>
            <w:r>
              <w:t>Source inventory and ordered contract closed C60; R2, R4 for runtime integration</w:t>
            </w:r>
          </w:p>
        </w:tc>
        <w:tc>
          <w:tcPr>
            <w:tcW w:type="dxa" w:w="3312"/>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3312"/>
          </w:tcPr>
          <w:p>
            <w:r>
              <w:t>R6. Perception and access — SAO (closed C60-C62 for selected source interaction)</w:t>
            </w:r>
          </w:p>
        </w:tc>
        <w:tc>
          <w:tcPr>
            <w:tcW w:type="dxa" w:w="3312"/>
          </w:tcPr>
          <w:p>
            <w:r>
              <w:t>R2 for timestamps; C61 source observations</w:t>
            </w:r>
          </w:p>
        </w:tc>
        <w:tc>
          <w:tcPr>
            <w:tcW w:type="dxa" w:w="3312"/>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3312"/>
          </w:tcPr>
          <w:p>
            <w:r>
              <w:t>R7. Action ownership and receipts — SAO; ZAO retained verbs (source-action slice closed C62)</w:t>
            </w:r>
          </w:p>
        </w:tc>
        <w:tc>
          <w:tcPr>
            <w:tcW w:type="dxa" w:w="3312"/>
          </w:tcPr>
          <w:p>
            <w:r>
              <w:t>R1-R2, R4, R6</w:t>
            </w:r>
          </w:p>
        </w:tc>
        <w:tc>
          <w:tcPr>
            <w:tcW w:type="dxa" w:w="3312"/>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Extend this same ownership discipline to the remaining action families and Crossed retained verbs. Inventory projections, experience and relationships update only from their appropriate results.</w:t>
            </w:r>
          </w:p>
        </w:tc>
      </w:tr>
      <w:tr>
        <w:tc>
          <w:tcPr>
            <w:tcW w:type="dxa" w:w="3312"/>
          </w:tcPr>
          <w:p>
            <w:r>
              <w:t>R8. Repair audited actions — SAO + ZAO callers</w:t>
            </w:r>
          </w:p>
        </w:tc>
        <w:tc>
          <w:tcPr>
            <w:tcW w:type="dxa" w:w="3312"/>
          </w:tcPr>
          <w:p>
            <w:r>
              <w:t>R5-R7 as used</w:t>
            </w:r>
          </w:p>
        </w:tc>
        <w:tc>
          <w:tcPr>
            <w:tcW w:type="dxa" w:w="3312"/>
          </w:tcPr>
          <w:p>
            <w:r>
              <w:t>Repair driving routes/progress/passengers/steering, ordinary homeward activity, child health/play, aid/CPR composition, robbery/raid response, animal approach and optional event consumers. Each path must reach a world consequence or a reasoned refusal. The contract table in SUBSTRATE names the counterexamples and retained working pieces.</w:t>
            </w:r>
          </w:p>
        </w:tc>
      </w:tr>
      <w:tr>
        <w:tc>
          <w:tcPr>
            <w:tcW w:type="dxa" w:w="3312"/>
          </w:tcPr>
          <w:p>
            <w:r>
              <w:t>R9. Complete life-simulation producers — SAO + ZAO domain owners</w:t>
            </w:r>
          </w:p>
        </w:tc>
        <w:tc>
          <w:tcPr>
            <w:tcW w:type="dxa" w:w="3312"/>
          </w:tcPr>
          <w:p>
            <w:r>
              <w:t>R5-R8 and C61's R10a ground, incrementally by concern</w:t>
            </w:r>
          </w:p>
        </w:tc>
        <w:tc>
          <w:tcPr>
            <w:tcW w:type="dxa" w:w="3312"/>
          </w:tcPr>
          <w:p>
            <w:r>
              <w:t>Implement the producer rows in SUBSTRATE: provisioning and places, exploration, affiliation, care, learning, culture, rest, governance, communication and conflict. C62 supplies provisioning's revision-bound completed-use input and stamps only the actor's food/water day; C63-C64 consume that result through one exact partial-source projection and reconcile later native change. No selected source establishes complete house stock, larder/water claims or settlement storage. C66 supplies performed acquisition/storage. Recipient recognition, complete inventories and the remaining material/development producers require their own results rather than observation, reservation or queue acceptance. Rebuild Crossed execution from its canonical body and mind: human appearance, retained cognition, experience, drives and action vocabulary; weapons, tools, strategy, coordination, use of the dead, variable settlement/leisure and deliberate work on Afflicted. Each concern first produces the bounded mechanism inventory below. Connect candidates to executors; prove conservation, private knowledge and socially grounded recognition in both representations.</w:t>
            </w:r>
          </w:p>
        </w:tc>
      </w:tr>
      <w:tr>
        <w:tc>
          <w:tcPr>
            <w:tcW w:type="dxa" w:w="3312"/>
          </w:tcPr>
          <w:p>
            <w:r>
              <w:t>R10b. Historical integration and population — SAO + ZAO</w:t>
            </w:r>
          </w:p>
        </w:tc>
        <w:tc>
          <w:tcPr>
            <w:tcW w:type="dxa" w:w="3312"/>
          </w:tcPr>
          <w:p>
            <w:r>
              <w:t>R2, R4, R8-R9, R10a</w:t>
            </w:r>
          </w:p>
        </w:tc>
        <w:tc>
          <w:tcPr>
            <w:tcW w:type="dxa" w:w="3312"/>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3312"/>
          </w:tcPr>
          <w:p>
            <w:r>
              <w:t>R11. Decision capture and joins — SAO + Speakeasy (envelope/join integrity C64; source-choice slice C65)</w:t>
            </w:r>
          </w:p>
        </w:tc>
        <w:tc>
          <w:tcPr>
            <w:tcW w:type="dxa" w:w="3312"/>
          </w:tcPr>
          <w:p>
            <w:r>
              <w:t>Start now; final eligibility follows R2, R6-R10</w:t>
            </w:r>
          </w:p>
        </w:tc>
        <w:tc>
          <w:tcPr>
            <w:tcW w:type="dxa" w:w="3312"/>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Pending, refused, interrupted and censored outcomes remain explicit; unreadable storage fails capture. The county sweep reports its absent loaded executor. C66 captures acquire/store choices and Speakeasy supplies knowledge views and separate unratified proposals. Broader option coverage, ratification, curated acquisition and later consequence horizons remain open.</w:t>
            </w:r>
          </w:p>
        </w:tc>
      </w:tr>
      <w:tr>
        <w:tc>
          <w:tcPr>
            <w:tcW w:type="dxa" w:w="3312"/>
          </w:tcPr>
          <w:p>
            <w:r>
              <w:t>R12. Approved data and world knowledge — Speakeasy; SAO knowledge reader (protection/audit closed C64)</w:t>
            </w:r>
          </w:p>
        </w:tc>
        <w:tc>
          <w:tcPr>
            <w:tcW w:type="dxa" w:w="3312"/>
          </w:tcPr>
          <w:p>
            <w:r>
              <w:t>Start now; R11 for new captures</w:t>
            </w:r>
          </w:p>
        </w:tc>
        <w:tc>
          <w:tcPr>
            <w:tcW w:type="dxa" w:w="3312"/>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corpus/claim views with hash-bound sources and explicit person/time acquisition evidence, plus unratified proposal authoring. Curate and adjudicate the claim/acquisition corpus before granting eligibility. Future facts, LOW claims and lineage leakage are refused; historical corrections remain append-only.</w:t>
            </w:r>
          </w:p>
        </w:tc>
      </w:tr>
      <w:tr>
        <w:tc>
          <w:tcPr>
            <w:tcW w:type="dxa" w:w="3312"/>
          </w:tcPr>
          <w:p>
            <w:r>
              <w:t>R13. Training and export — Speakeasy</w:t>
            </w:r>
          </w:p>
        </w:tc>
        <w:tc>
          <w:tcPr>
            <w:tcW w:type="dxa" w:w="3312"/>
          </w:tcPr>
          <w:p>
            <w:r>
              <w:t>R11-R12; eligible R8-R10b coverage</w:t>
            </w:r>
          </w:p>
        </w:tc>
        <w:tc>
          <w:tcPr>
            <w:tcW w:type="dxa" w:w="3312"/>
          </w:tcPr>
          <w:p>
            <w:r>
              <w:t>Build decision authoring, deterministic voice expansion, understander utterance-to-meaning and speaker claims/conditioning-to-expression datasets, preserving actual approval status. Implement lineage-separated evaluation and reproducible training. Complete the architecture/export investigation; deliver deterministic versioned artifacts and reference inference with separate behavioral/grounding measures.</w:t>
            </w:r>
          </w:p>
        </w:tc>
      </w:tr>
      <w:tr>
        <w:tc>
          <w:tcPr>
            <w:tcW w:type="dxa" w:w="3312"/>
          </w:tcPr>
          <w:p>
            <w:r>
              <w:t>R14. Learned execution and exchange — SAO Java/Lua + Speakeasy artifacts</w:t>
            </w:r>
          </w:p>
        </w:tc>
        <w:tc>
          <w:tcPr>
            <w:tcW w:type="dxa" w:w="3312"/>
          </w:tcPr>
          <w:p>
            <w:r>
              <w:t>R7, R9, R13</w:t>
            </w:r>
          </w:p>
        </w:tc>
        <w:tc>
          <w:tcPr>
            <w:tcW w:type="dxa" w:w="3312"/>
          </w:tcPr>
          <w:p>
            <w:r>
              <w:t>Load a compatible model in Java, infer at the real decision point, revalidate and execute the selected option. Complete both understanding and constrained expression through existing belief, standing and command channels. A changed model output must change an actual action or exchange; false claim recombination, stale options and failed inference cannot manufacture success.</w:t>
            </w:r>
          </w:p>
        </w:tc>
      </w:tr>
      <w:tr>
        <w:tc>
          <w:tcPr>
            <w:tcW w:type="dxa" w:w="3312"/>
          </w:tcPr>
          <w:p>
            <w:r>
              <w:t>R15. Late-start acceleration — SAO + Speakeasy</w:t>
            </w:r>
          </w:p>
        </w:tc>
        <w:tc>
          <w:tcPr>
            <w:tcW w:type="dxa" w:w="3312"/>
          </w:tcPr>
          <w:p>
            <w:r>
              <w:t>R10b; versioned policy/export from R13-R14</w:t>
            </w:r>
          </w:p>
        </w:tc>
        <w:tc>
          <w:tcPr>
            <w:tcW w:type="dxa" w:w="3312"/>
          </w:tcPr>
          <w:p>
            <w:r>
              <w:t>Evaluate acceleration against the repaired causal stepper with matched seeds, initial conditions and policy version. Compare histories, distributions and subsequent behavior. Preserve provenance and quantify error/performance. Retain causal stepping until a candidate passes; fixed survival floors, settlement quotas and authored completed work remain invalid.</w:t>
            </w:r>
          </w:p>
        </w:tc>
      </w:tr>
    </w:tbl>
    <w:p>
      <w:r>
        <w:t>R9 closes only when every producer row has its own evidence. R8 similarly accounts for every audited action family. A thin demonstration in one family does not discharge the rest of the row. Historical and learned runs declare their supported coverage explicitly.</w:t>
      </w:r>
    </w:p>
    <w:p>
      <w:r>
        <w:t>Corpus work, protected exports, capture mechanics, evaluation design and model format experiments can advance while producers are repaired. Final training eligibility depends on the truth of the captured mechanisms. Experimental datasets retain their limitations; they do not establish full-scope readiness.</w:t>
      </w:r>
    </w:p>
    <w:p>
      <w:pPr>
        <w:pStyle w:val="Heading1"/>
      </w:pPr>
      <w:r>
        <w:t>Defined investigations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Investigation</w:t>
            </w:r>
          </w:p>
        </w:tc>
        <w:tc>
          <w:tcPr>
            <w:tcW w:type="dxa" w:w="3312"/>
          </w:tcPr>
          <w:p>
            <w:r>
              <w:rPr>
                <w:b/>
              </w:rPr>
              <w:t>Owner and required output</w:t>
            </w:r>
          </w:p>
        </w:tc>
        <w:tc>
          <w:tcPr>
            <w:tcW w:type="dxa" w:w="3312"/>
          </w:tcPr>
          <w:p>
            <w:r>
              <w:rPr>
                <w:b/>
              </w:rPr>
              <w:t>Work it resolves</w:t>
            </w:r>
          </w:p>
        </w:tc>
      </w:tr>
      <w:tr>
        <w:tc>
          <w:tcPr>
            <w:tcW w:type="dxa" w:w="3312"/>
          </w:tcPr>
          <w:p>
            <w:r>
              <w:t>Native component continuation</w:t>
            </w:r>
          </w:p>
        </w:tc>
        <w:tc>
          <w:tcPr>
            <w:tcW w:type="dxa" w:w="3312"/>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3312"/>
          </w:tcPr>
          <w:p>
            <w:r>
              <w:t>R5 closed</w:t>
            </w:r>
          </w:p>
        </w:tc>
      </w:tr>
      <w:tr>
        <w:tc>
          <w:tcPr>
            <w:tcW w:type="dxa" w:w="3312"/>
          </w:tcPr>
          <w:p>
            <w:r>
              <w:t>Return and action failure order</w:t>
            </w:r>
          </w:p>
        </w:tc>
        <w:tc>
          <w:tcPr>
            <w:tcW w:type="dxa" w:w="3312"/>
          </w:tcPr>
          <w:p>
            <w:r>
              <w:t>SAO + ZAO: callback/teardown inventory and a phase-by-phase recovery table, including current corpse possessions, failed removal and save/reload.</w:t>
            </w:r>
          </w:p>
        </w:tc>
        <w:tc>
          <w:tcPr>
            <w:tcW w:type="dxa" w:w="3312"/>
          </w:tcPr>
          <w:p>
            <w:r>
              <w:t>R1, R4, R7</w:t>
            </w:r>
          </w:p>
        </w:tc>
      </w:tr>
      <w:tr>
        <w:tc>
          <w:tcPr>
            <w:tcW w:type="dxa" w:w="3312"/>
          </w:tcPr>
          <w:p>
            <w:r>
              <w:t>Unloaded world opportunity</w:t>
            </w:r>
          </w:p>
        </w:tc>
        <w:tc>
          <w:tcPr>
            <w:tcW w:type="dxa" w:w="3312"/>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3312"/>
          </w:tcPr>
          <w:p>
            <w:r>
              <w:t>R6 closed; R7 source slice closed; R9 exact partial-source projection slice closed</w:t>
            </w:r>
          </w:p>
        </w:tc>
      </w:tr>
      <w:tr>
        <w:tc>
          <w:tcPr>
            <w:tcW w:type="dxa" w:w="3312"/>
          </w:tcPr>
          <w:p>
            <w:r>
              <w:t>Per-concern producer mechanisms</w:t>
            </w:r>
          </w:p>
        </w:tc>
        <w:tc>
          <w:tcPr>
            <w:tcW w:type="dxa" w:w="3312"/>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3312"/>
          </w:tcPr>
          <w:p>
            <w:r>
              <w:t>R8-R9</w:t>
            </w:r>
          </w:p>
        </w:tc>
      </w:tr>
      <w:tr>
        <w:tc>
          <w:tcPr>
            <w:tcW w:type="dxa" w:w="3312"/>
          </w:tcPr>
          <w:p>
            <w:r>
              <w:t>Brain-health integration</w:t>
            </w:r>
          </w:p>
        </w:tc>
        <w:tc>
          <w:tcPr>
            <w:tcW w:type="dxa" w:w="3312"/>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3312"/>
          </w:tcPr>
          <w:p>
            <w:r>
              <w:t>R5 closed</w:t>
            </w:r>
          </w:p>
        </w:tc>
      </w:tr>
      <w:tr>
        <w:tc>
          <w:tcPr>
            <w:tcW w:type="dxa" w:w="3312"/>
          </w:tcPr>
          <w:p>
            <w:r>
              <w:t>Population policy</w:t>
            </w:r>
          </w:p>
        </w:tc>
        <w:tc>
          <w:tcPr>
            <w:tcW w:type="dxa" w:w="3312"/>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3312"/>
          </w:tcPr>
          <w:p>
            <w:r>
              <w:t>R10</w:t>
            </w:r>
          </w:p>
        </w:tc>
      </w:tr>
      <w:tr>
        <w:tc>
          <w:tcPr>
            <w:tcW w:type="dxa" w:w="3312"/>
          </w:tcPr>
          <w:p>
            <w:r>
              <w:t>Model architecture and interchange</w:t>
            </w:r>
          </w:p>
        </w:tc>
        <w:tc>
          <w:tcPr>
            <w:tcW w:type="dxa" w:w="3312"/>
          </w:tcPr>
          <w:p>
            <w:r>
              <w:t>Speakeasy + SAO: build a candidate inference/export harness; compare task-appropriate implementations, conditioning/tokenization, dimensions, memory and layout using reference/Java parity and measured actual-model allocations/latency. Candidate dimensions stay provisional until the target budget is verified. Loaded-game budget acceptance remains distinct from offline evidence and does not block corpus/schema/research work. Identify unresolved consequential choices before commitment.</w:t>
            </w:r>
          </w:p>
        </w:tc>
        <w:tc>
          <w:tcPr>
            <w:tcW w:type="dxa" w:w="3312"/>
          </w:tcPr>
          <w:p>
            <w:r>
              <w:t>R13-R14</w:t>
            </w:r>
          </w:p>
        </w:tc>
      </w:tr>
      <w:tr>
        <w:tc>
          <w:tcPr>
            <w:tcW w:type="dxa" w:w="3312"/>
          </w:tcPr>
          <w:p>
            <w:r>
              <w:t>Accelerator suitability</w:t>
            </w:r>
          </w:p>
        </w:tc>
        <w:tc>
          <w:tcPr>
            <w:tcW w:type="dxa" w:w="3312"/>
          </w:tcPr>
          <w:p>
            <w:r>
              <w:t>SAO + Speakeasy: matched causal baseline, explicit equivalence measures and candidate error/performance results. A failed comparison leaves the causal stepper authoritative.</w:t>
            </w:r>
          </w:p>
        </w:tc>
        <w:tc>
          <w:tcPr>
            <w:tcW w:type="dxa" w:w="3312"/>
          </w:tcPr>
          <w:p>
            <w:r>
              <w:t>R15</w:t>
            </w:r>
          </w:p>
        </w:tc>
      </w:tr>
    </w:tbl>
    <w:p>
      <w:r>
        <w:t>Consumable production and synthesis mechanics remain outside the authorized scope in GOVERNANCE.md. The provisioning plan covers existing-world access, transport, storage, sharing, trade, conservation and permitted integration wiring; it does not introduce creation recipes or synthesis rules.</w:t>
      </w:r>
    </w:p>
    <w:p>
      <w:pPr>
        <w:pStyle w:val="Heading1"/>
      </w:pPr>
      <w:r>
        <w:t>Ratified scope retained</w:t>
      </w:r>
    </w:p>
    <w:tbl>
      <w:tblPr>
        <w:tblStyle w:val="TableGrid"/>
        <w:tblW w:type="auto" w:w="0"/>
        <w:tblLook w:firstColumn="1" w:firstRow="1" w:lastColumn="0" w:lastRow="0" w:noHBand="0" w:noVBand="1" w:val="04A0"/>
      </w:tblPr>
      <w:tblGrid>
        <w:gridCol w:w="4968"/>
        <w:gridCol w:w="4968"/>
      </w:tblGrid>
      <w:tr>
        <w:tc>
          <w:tcPr>
            <w:tcW w:type="dxa" w:w="4968"/>
          </w:tcPr>
          <w:p>
            <w:r>
              <w:rPr>
                <w:b/>
              </w:rPr>
              <w:t>Concern</w:t>
            </w:r>
          </w:p>
        </w:tc>
        <w:tc>
          <w:tcPr>
            <w:tcW w:type="dxa" w:w="4968"/>
          </w:tcPr>
          <w:p>
            <w:r>
              <w:rPr>
                <w:b/>
              </w:rPr>
              <w:t>Continuing requirement</w:t>
            </w:r>
          </w:p>
        </w:tc>
      </w:tr>
      <w:tr>
        <w:tc>
          <w:tcPr>
            <w:tcW w:type="dxa" w:w="4968"/>
          </w:tcPr>
          <w:p>
            <w:r>
              <w:t>Day zero and late starts</w:t>
            </w:r>
          </w:p>
        </w:tc>
        <w:tc>
          <w:tcPr>
            <w:tcW w:type="dxa" w:w="4968"/>
          </w:tcPr>
          <w:p>
            <w:r>
              <w:t>Ordinary life, collapse and later states share causal machinery. Day-zero off remains a first-class start.</w:t>
            </w:r>
          </w:p>
        </w:tc>
      </w:tr>
      <w:tr>
        <w:tc>
          <w:tcPr>
            <w:tcW w:type="dxa" w:w="4968"/>
          </w:tcPr>
          <w:p>
            <w:r>
              <w:t>Person and life</w:t>
            </w:r>
          </w:p>
        </w:tc>
        <w:tc>
          <w:tcPr>
            <w:tcW w:type="dxa" w:w="4968"/>
          </w:tcPr>
          <w:p>
            <w:r>
              <w:t>Age, childhood, conditions, habits, hobbies, addictions, culture, relationships and material pressures condition choice. Work and roles are downstream observations.</w:t>
            </w:r>
          </w:p>
        </w:tc>
      </w:tr>
      <w:tr>
        <w:tc>
          <w:tcPr>
            <w:tcW w:type="dxa" w:w="4968"/>
          </w:tcPr>
          <w:p>
            <w:r>
              <w:t>Places and resources</w:t>
            </w:r>
          </w:p>
        </w:tc>
        <w:tc>
          <w:tcPr>
            <w:tcW w:type="dxa" w:w="4968"/>
          </w:tcPr>
          <w:p>
            <w:r>
              <w:t>Ground follows use; organizations can hold several places, move or abandon them. Provisioning follows real access, consumption and work.</w:t>
            </w:r>
          </w:p>
        </w:tc>
      </w:tr>
      <w:tr>
        <w:tc>
          <w:tcPr>
            <w:tcW w:type="dxa" w:w="4968"/>
          </w:tcPr>
          <w:p>
            <w:r>
              <w:t>Authority and recognition</w:t>
            </w:r>
          </w:p>
        </w:tc>
        <w:tc>
          <w:tcPr>
            <w:tcW w:type="dxa" w:w="4968"/>
          </w:tcPr>
          <w:p>
            <w:r>
              <w:t>Claims, recognition, response, jurisdiction, legitimacy and coercion remain distinct. Repetition alone does not appoint an office.</w:t>
            </w:r>
          </w:p>
        </w:tc>
      </w:tr>
      <w:tr>
        <w:tc>
          <w:tcPr>
            <w:tcW w:type="dxa" w:w="4968"/>
          </w:tcPr>
          <w:p>
            <w:r>
              <w:t>Afflicted and crossed</w:t>
            </w:r>
          </w:p>
        </w:tc>
        <w:tc>
          <w:tcPr>
            <w:tcW w:type="dxa" w:w="4968"/>
          </w:tcPr>
          <w:p>
            <w:r>
              <w:t>SAO executes afflicted people; ZAO owns pathogen state and crossed execution. Capability follows actual experience. Crossed remain human-looking, cognitive, organized and able to use retained human actions, weapons and tools. Strategy, diversion, capture, diet and living responses remain in scope; Afflicted are not food, and their conversion requires the distinct intentional exposure action and an SAO-to-ZAO ownership transfer.</w:t>
            </w:r>
          </w:p>
        </w:tc>
      </w:tr>
      <w:tr>
        <w:tc>
          <w:tcPr>
            <w:tcW w:type="dxa" w:w="4968"/>
          </w:tcPr>
          <w:p>
            <w:r>
              <w:t>Brain health</w:t>
            </w:r>
          </w:p>
        </w:tc>
        <w:tc>
          <w:tcPr>
            <w:tcW w:type="dxa" w:w="4968"/>
          </w:tcPr>
          <w:p>
            <w:r>
              <w:t>ZAO-led per-person event-driven brain-health and inflammatory state, integrating drug and pathogen effects, memory, health markers and a graph visualization. Authored decline curves do not replace causes.</w:t>
            </w:r>
          </w:p>
        </w:tc>
      </w:tr>
      <w:tr>
        <w:tc>
          <w:tcPr>
            <w:tcW w:type="dxa" w:w="4968"/>
          </w:tcPr>
          <w:p>
            <w:r>
              <w:t>Optional integrations</w:t>
            </w:r>
          </w:p>
        </w:tc>
        <w:tc>
          <w:tcPr>
            <w:tcW w:type="dxa" w:w="4968"/>
          </w:tcPr>
          <w:p>
            <w:r>
              <w:t>Every installed family is accounted for at its actual seam with its ratified settings and absence behavior. The nuke is optional and defaults off.</w:t>
            </w:r>
          </w:p>
        </w:tc>
      </w:tr>
      <w:tr>
        <w:tc>
          <w:tcPr>
            <w:tcW w:type="dxa" w:w="4968"/>
          </w:tcPr>
          <w:p>
            <w:r>
              <w:t>Cognition and speech</w:t>
            </w:r>
          </w:p>
        </w:tc>
        <w:tc>
          <w:tcPr>
            <w:tcW w:type="dxa" w:w="4968"/>
          </w:tcPr>
          <w:p>
            <w:r>
              <w:t>Person, perceived situation, available options and choice form the data contract. Models cover decisions as well as expression; no player-speech harvesting.</w:t>
            </w:r>
          </w:p>
        </w:tc>
      </w:tr>
    </w:tbl>
    <w:p>
      <w:r>
        <w:t>Detailed scope before consolidation retains the prior requirements and decision references. Its former C labels resolve through FORMER_LABELS. Its historical progress and completion claims are superseded by this roadmap and the audit. Settled operator ideas remain.</w:t>
      </w:r>
    </w:p>
    <w:p>
      <w:pPr>
        <w:pStyle w:val="Heading1"/>
      </w:pPr>
      <w:r>
        <w:t>Evidence and open decisions</w:t>
      </w:r>
    </w:p>
    <w:p>
      <w:r>
        <w:t>The implementation audit and its probes identify the immediate defects. F-075 withdraws the old full-fidelity and fitted-trajectory claims; F-076 records the broader audit. Diagnostic samples remain observations within their documented limitations.</w:t>
      </w:r>
    </w:p>
    <w:p>
      <w:r>
        <w:t>Grounded-dead calibration, early Knox ratio interpretation and destructive relationship pruning remain operator decisions. Existing ratified mechanics continue without waiting on them. Play acceptance is distinct from mechanical verification; no new play-session prerequisite is introduced here.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