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C66 performed provisioning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Timestamp</w:t>
            </w:r>
          </w:p>
        </w:tc>
        <w:tc>
          <w:tcPr>
            <w:tcW w:type="dxa" w:w="4968"/>
          </w:tcPr>
          <w:p>
            <w:r>
              <w:t>2026-09-21 02:13 UTC / 19:13 PST</w:t>
            </w:r>
          </w:p>
        </w:tc>
      </w:tr>
      <w:tr>
        <w:tc>
          <w:tcPr>
            <w:tcW w:type="dxa" w:w="4968"/>
          </w:tcPr>
          <w:p>
            <w:r>
              <w:t>Authority</w:t>
            </w:r>
          </w:p>
        </w:tc>
        <w:tc>
          <w:tcPr>
            <w:tcW w:type="dxa" w:w="4968"/>
          </w:tcPr>
          <w:p>
            <w:r>
              <w:t>User continuation of the proposed acquisition, carrying, storage and Speakeasy knowledge work; SUBSTRATE R7, R9, R11, R12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Actual native food/water transfer and its durable result; independently reviewable decision-time knowledge and choice proposals</w:t>
            </w:r>
          </w:p>
        </w:tc>
      </w:tr>
      <w:tr>
        <w:tc>
          <w:tcPr>
            <w:tcW w:type="dxa" w:w="4968"/>
          </w:tcPr>
          <w:p>
            <w:r>
              <w:t>Baseline</w:t>
            </w:r>
          </w:p>
        </w:tc>
        <w:tc>
          <w:tcPr>
            <w:tcW w:type="dxa" w:w="4968"/>
          </w:tcPr>
          <w:p>
            <w:r>
              <w:t>SAO C65, ccd28660; Speakeasy bdfc3e5</w:t>
            </w:r>
          </w:p>
        </w:tc>
      </w:tr>
    </w:tbl>
    <w:p>
      <w:pPr>
        <w:pStyle w:val="Heading1"/>
      </w:pPr>
      <w:r>
        <w:t>Mechanism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Current producer and caller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Persistence and observation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Gap and completion evidence</w:t>
            </w:r>
          </w:p>
        </w:tc>
      </w:tr>
      <w:tr>
        <w:tc>
          <w:tcPr>
            <w:tcW w:type="dxa" w:w="2484"/>
          </w:tcPr>
          <w:p>
            <w:r>
              <w:t>Acquire existing goods</w:t>
            </w:r>
          </w:p>
        </w:tc>
        <w:tc>
          <w:tcPr>
            <w:tcW w:type="dxa" w:w="2484"/>
          </w:tcPr>
          <w:p>
            <w:r>
              <w:t>Needs.queueTake; Controller forager and raid arrivals; old takeWantedFromNearby mutates directly</w:t>
            </w:r>
          </w:p>
        </w:tc>
        <w:tc>
          <w:tcPr>
            <w:tcW w:type="dxa" w:w="2484"/>
          </w:tcPr>
          <w:p>
            <w:r>
              <w:t>Native inventory; old queue drain grants Foraging XP</w:t>
            </w:r>
          </w:p>
        </w:tc>
        <w:tc>
          <w:tcPr>
            <w:tcW w:type="dxa" w:w="2484"/>
          </w:tcPr>
          <w:p>
            <w:r>
              <w:t>One exact native transfer under the existing WorldSources actor reservation; stale permission, failed queue and missing item produce no acquisition credit</w:t>
            </w:r>
          </w:p>
        </w:tc>
      </w:tr>
      <w:tr>
        <w:tc>
          <w:tcPr>
            <w:tcW w:type="dxa" w:w="2484"/>
          </w:tcPr>
          <w:p>
            <w:r>
              <w:t>Carry the same item</w:t>
            </w:r>
          </w:p>
        </w:tc>
        <w:tc>
          <w:tcPr>
            <w:tcW w:type="dxa" w:w="2484"/>
          </w:tcPr>
          <w:p>
            <w:r>
              <w:t>Native inventory plus BodySnapshot</w:t>
            </w:r>
          </w:p>
        </w:tc>
        <w:tc>
          <w:tcPr>
            <w:tcW w:type="dxa" w:w="2484"/>
          </w:tcPr>
          <w:p>
            <w:r>
              <w:t>Stable native item ID and person snapshot survive ordinary reload</w:t>
            </w:r>
          </w:p>
        </w:tc>
        <w:tc>
          <w:tcPr>
            <w:tcW w:type="dxa" w:w="2484"/>
          </w:tcPr>
          <w:p>
            <w:r>
              <w:t>Recovery resolves actual holders by ID/type; no item creation, blind replay or replacement; bodyless advancement honors the same actor owner</w:t>
            </w:r>
          </w:p>
        </w:tc>
      </w:tr>
      <w:tr>
        <w:tc>
          <w:tcPr>
            <w:tcW w:type="dxa" w:w="2484"/>
          </w:tcPr>
          <w:p>
            <w:r>
              <w:t>Store spare goods</w:t>
            </w:r>
          </w:p>
        </w:tc>
        <w:tc>
          <w:tcPr>
            <w:tcW w:type="dxa" w:w="2484"/>
          </w:tcPr>
          <w:p>
            <w:r>
              <w:t>Needs.depositSpareFood/depositWater choose a spare and nearby destination</w:t>
            </w:r>
          </w:p>
        </w:tc>
        <w:tc>
          <w:tcPr>
            <w:tcW w:type="dxa" w:w="2484"/>
          </w:tcPr>
          <w:p>
            <w:r>
              <w:t>Native transfer queue; TAKE drain formerly grants Fitness XP</w:t>
            </w:r>
          </w:p>
        </w:tc>
        <w:tc>
          <w:tcPr>
            <w:tcW w:type="dxa" w:w="2484"/>
          </w:tcPr>
          <w:p>
            <w:r>
              <w:t>Current reachable inspection, exact carried metadata, exact destination pre/post delta, terminal receipt, replay-safe credit</w:t>
            </w:r>
          </w:p>
        </w:tc>
      </w:tr>
      <w:tr>
        <w:tc>
          <w:tcPr>
            <w:tcW w:type="dxa" w:w="2484"/>
          </w:tcPr>
          <w:p>
            <w:r>
              <w:t>Private knowledge</w:t>
            </w:r>
          </w:p>
        </w:tc>
        <w:tc>
          <w:tcPr>
            <w:tcW w:type="dxa" w:w="2484"/>
          </w:tcPr>
          <w:p>
            <w:r>
              <w:t>Perception learned source revisions; native candidate probes</w:t>
            </w:r>
          </w:p>
        </w:tc>
        <w:tc>
          <w:tcPr>
            <w:tcW w:type="dxa" w:w="2484"/>
          </w:tcPr>
          <w:p>
            <w:r>
              <w:t>Person-private belief store</w:t>
            </w:r>
          </w:p>
        </w:tc>
        <w:tc>
          <w:tcPr>
            <w:tcW w:type="dxa" w:w="2484"/>
          </w:tcPr>
          <w:p>
            <w:r>
              <w:t>Learn only the inspected source, including a physical source anchor outside a previously known building; other scanned chunk sources remain unknown</w:t>
            </w:r>
          </w:p>
        </w:tc>
      </w:tr>
      <w:tr>
        <w:tc>
          <w:tcPr>
            <w:tcW w:type="dxa" w:w="2484"/>
          </w:tcPr>
          <w:p>
            <w:r>
              <w:t>Material consequence</w:t>
            </w:r>
          </w:p>
        </w:tc>
        <w:tc>
          <w:tcPr>
            <w:tcW w:type="dxa" w:w="2484"/>
          </w:tcPr>
          <w:p>
            <w:r>
              <w:t>Provisioning consumes ordered results, Material owns partial native-source projection</w:t>
            </w:r>
          </w:p>
        </w:tc>
        <w:tc>
          <w:tcPr>
            <w:tcW w:type="dxa" w:w="2484"/>
          </w:tcPr>
          <w:p>
            <w:r>
              <w:t>Durable acknowledgement and ambient refresh</w:t>
            </w:r>
          </w:p>
        </w:tc>
        <w:tc>
          <w:tcPr>
            <w:tcW w:type="dxa" w:w="2484"/>
          </w:tcPr>
          <w:p>
            <w:r>
              <w:t>Completed acquisition/storage use the same projection; one inspected container remains partial evidence</w:t>
            </w:r>
          </w:p>
        </w:tc>
      </w:tr>
      <w:tr>
        <w:tc>
          <w:tcPr>
            <w:tcW w:type="dxa" w:w="2484"/>
          </w:tcPr>
          <w:p>
            <w:r>
              <w:t>Social consequence</w:t>
            </w:r>
          </w:p>
        </w:tc>
        <w:tc>
          <w:tcPr>
            <w:tcW w:type="dxa" w:w="2484"/>
          </w:tcPr>
          <w:p>
            <w:r>
              <w:t>Ally delivery currently creates debt/trust and speech when queue accepts</w:t>
            </w:r>
          </w:p>
        </w:tc>
        <w:tc>
          <w:tcPr>
            <w:tcW w:type="dxa" w:w="2484"/>
          </w:tcPr>
          <w:p>
            <w:r>
              <w:t>Standing social records</w:t>
            </w:r>
          </w:p>
        </w:tc>
        <w:tc>
          <w:tcPr>
            <w:tcW w:type="dxa" w:w="2484"/>
          </w:tcPr>
          <w:p>
            <w:r>
              <w:t>Remove queue-created recognition; the carrier may acknowledge actual delivery, while recipient recognition still requires its perception/communication producer</w:t>
            </w:r>
          </w:p>
        </w:tc>
      </w:tr>
      <w:tr>
        <w:tc>
          <w:tcPr>
            <w:tcW w:type="dxa" w:w="2484"/>
          </w:tcPr>
          <w:p>
            <w:r>
              <w:t>Decision evidence</w:t>
            </w:r>
          </w:p>
        </w:tc>
        <w:tc>
          <w:tcPr>
            <w:tcW w:type="dxa" w:w="2484"/>
          </w:tcPr>
          <w:p>
            <w:r>
              <w:t>C65 freezes SourceUse chooser and binds beginAction</w:t>
            </w:r>
          </w:p>
        </w:tc>
        <w:tc>
          <w:tcPr>
            <w:tcW w:type="dxa" w:w="2484"/>
          </w:tcPr>
          <w:p>
            <w:r>
              <w:t>Namespaced detached event and actor-scoped result</w:t>
            </w:r>
          </w:p>
        </w:tc>
        <w:tc>
          <w:tcPr>
            <w:tcW w:type="dxa" w:w="2484"/>
          </w:tcPr>
          <w:p>
            <w:r>
              <w:t>Observe beginTransfer through the same capture owner; acquisition/storage choices and measured item transfers remain unratified</w:t>
            </w:r>
          </w:p>
        </w:tc>
      </w:tr>
      <w:tr>
        <w:tc>
          <w:tcPr>
            <w:tcW w:type="dxa" w:w="2484"/>
          </w:tcPr>
          <w:p>
            <w:r>
              <w:t>Knowledge and authoring</w:t>
            </w:r>
          </w:p>
        </w:tc>
        <w:tc>
          <w:tcPr>
            <w:tcW w:type="dxa" w:w="2484"/>
          </w:tcPr>
          <w:p>
            <w:r>
              <w:t>Speakeasy v3 protects approved rows and sources</w:t>
            </w:r>
          </w:p>
        </w:tc>
        <w:tc>
          <w:tcPr>
            <w:tcW w:type="dxa" w:w="2484"/>
          </w:tcPr>
          <w:p>
            <w:r>
              <w:t>Hash-protected legacy inputs, all conditioning-ineligible</w:t>
            </w:r>
          </w:p>
        </w:tc>
        <w:tc>
          <w:tcPr>
            <w:tcW w:type="dxa" w:w="2484"/>
          </w:tcPr>
          <w:p>
            <w:r>
              <w:t>Versioned time/person-filtered knowledge views and exact-option proposals with explicit source, acquisition and approval standing; no invented acquisition</w:t>
            </w:r>
          </w:p>
        </w:tc>
      </w:tr>
    </w:tbl>
    <w:p>
      <w:pPr>
        <w:pStyle w:val="Heading1"/>
      </w:pPr>
      <w:r>
        <w:t>Ownership and verification</w:t>
      </w:r>
    </w:p>
    <w:p>
      <w:r>
        <w:t>WorldSources remains the sole durable action owner. SourceUse executes both native consumption and acquisition/storage. Needs retains native transfer construction; Controller retains decisions and responds to proven completion. Java resolves native objects and reports observed holders; it owns no second durable inventory.</w:t>
      </w:r>
    </w:p>
    <w:p>
      <w:r>
        <w:t>The independent Speakeasy worktree begins at published main and preserves the original checkout's unrelated uncommitted history. Approved rows are unchanged.</w:t>
      </w:r>
    </w:p>
    <w:p>
      <w:r>
        <w:t>Focused installed-VM cases and mutations cover exact addition/removal, source replacement, amount changes, wrong actor, queue refusal, cancellation, reload, concurrent change, detached capture and consume-only need credit. The repository gate, independent review, package checks and startup follow integration.</w:t>
      </w:r>
    </w:p>
    <w:p>
      <w:pPr>
        <w:pStyle w:val="Heading1"/>
      </w:pPr>
      <w:r>
        <w:t>Completion boundaries</w:t>
      </w:r>
    </w:p>
    <w:p>
      <w:r>
        <w:t>This batch covers existing food/water acquisition and shelving paths. Full house inventory, wider sharing/trade/production, other action families, recipient social recognition, and a populated training-eligible corpus retain their R9/R11-R13 contracts. Native item identity survives reload; separate native/global save surfaces do not by themselves establish atomic interrupted-save recovery.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