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A44 - Living orientation and elapsed rollback</w:t>
      </w:r>
    </w:p>
    <w:tbl>
      <w:tblPr>
        <w:tblStyle w:val="TableGrid"/>
        <w:tblW w:type="dxa" w:w="10166"/>
        <w:jc w:val="center"/>
        <w:tblLayout w:type="fixed"/>
        <w:tblLook w:firstColumn="1" w:firstRow="1" w:lastColumn="0" w:lastRow="0" w:noHBand="0" w:noVBand="1" w:val="04A0"/>
        <w:tblInd w:type="dxa" w:w="120"/>
      </w:tblPr>
      <w:tblGrid>
        <w:gridCol w:w="2037"/>
        <w:gridCol w:w="8129"/>
      </w:tblGrid>
      <w:tr>
        <w:trPr>
          <w:cantSplit/>
          <w:tblHeader/>
        </w:trPr>
        <w:tc>
          <w:tcPr>
            <w:tcW w:type="dxa" w:w="2037"/>
            <w:shd w:fill="316273"/>
          </w:tcPr>
          <w:p>
            <w:r>
              <w:rPr>
                <w:rFonts w:ascii="Aptos" w:hAnsi="Aptos"/>
                <w:b/>
                <w:color w:val="FFFFFF"/>
                <w:sz w:val="16"/>
              </w:rPr>
              <w:t>Field</w:t>
            </w:r>
          </w:p>
        </w:tc>
        <w:tc>
          <w:tcPr>
            <w:tcW w:type="dxa" w:w="8129"/>
            <w:shd w:fill="316273"/>
          </w:tcPr>
          <w:p>
            <w:r>
              <w:rPr>
                <w:rFonts w:ascii="Aptos" w:hAnsi="Aptos"/>
                <w:b/>
                <w:color w:val="FFFFFF"/>
                <w:sz w:val="16"/>
              </w:rPr>
              <w:t>Record</w:t>
            </w:r>
          </w:p>
        </w:tc>
      </w:tr>
      <w:tr>
        <w:trPr>
          <w:cantSplit/>
        </w:trPr>
        <w:tc>
          <w:tcPr>
            <w:tcW w:type="dxa" w:w="2037"/>
          </w:tcPr>
          <w:p>
            <w:r>
              <w:rPr>
                <w:rFonts w:ascii="Aptos" w:hAnsi="Aptos"/>
                <w:sz w:val="16"/>
              </w:rPr>
              <w:t>Batch</w:t>
            </w:r>
          </w:p>
        </w:tc>
        <w:tc>
          <w:tcPr>
            <w:tcW w:type="dxa" w:w="8129"/>
          </w:tcPr>
          <w:p>
            <w:r>
              <w:rPr>
                <w:rFonts w:ascii="Aptos" w:hAnsi="Aptos"/>
                <w:sz w:val="16"/>
              </w:rPr>
              <w:t>A44</w:t>
            </w:r>
          </w:p>
        </w:tc>
      </w:tr>
      <w:tr>
        <w:trPr>
          <w:cantSplit/>
        </w:trPr>
        <w:tc>
          <w:tcPr>
            <w:tcW w:type="dxa" w:w="2037"/>
            <w:shd w:fill="EAF1F3"/>
          </w:tcPr>
          <w:p>
            <w:r>
              <w:rPr>
                <w:rFonts w:ascii="Aptos" w:hAnsi="Aptos"/>
                <w:sz w:val="16"/>
              </w:rPr>
              <w:t>Timestamp</w:t>
            </w:r>
          </w:p>
        </w:tc>
        <w:tc>
          <w:tcPr>
            <w:tcW w:type="dxa" w:w="8129"/>
            <w:shd w:fill="EAF1F3"/>
          </w:tcPr>
          <w:p>
            <w:r>
              <w:rPr>
                <w:rFonts w:ascii="Aptos" w:hAnsi="Aptos"/>
                <w:sz w:val="16"/>
              </w:rPr>
              <w:t>2026-09-27 05:12 UTC / 22:12 PST</w:t>
            </w:r>
          </w:p>
        </w:tc>
      </w:tr>
      <w:tr>
        <w:trPr>
          <w:cantSplit/>
        </w:trPr>
        <w:tc>
          <w:tcPr>
            <w:tcW w:type="dxa" w:w="2037"/>
          </w:tcPr>
          <w:p>
            <w:r>
              <w:rPr>
                <w:rFonts w:ascii="Aptos" w:hAnsi="Aptos"/>
                <w:sz w:val="16"/>
              </w:rPr>
              <w:t>Name</w:t>
            </w:r>
          </w:p>
        </w:tc>
        <w:tc>
          <w:tcPr>
            <w:tcW w:type="dxa" w:w="8129"/>
          </w:tcPr>
          <w:p>
            <w:r>
              <w:rPr>
                <w:rFonts w:ascii="Aptos" w:hAnsi="Aptos"/>
                <w:sz w:val="16"/>
              </w:rPr>
              <w:t>Living orientation and elapsed rollback</w:t>
            </w:r>
          </w:p>
        </w:tc>
      </w:tr>
      <w:tr>
        <w:trPr>
          <w:cantSplit/>
        </w:trPr>
        <w:tc>
          <w:tcPr>
            <w:tcW w:type="dxa" w:w="2037"/>
            <w:shd w:fill="EAF1F3"/>
          </w:tcPr>
          <w:p>
            <w:r>
              <w:rPr>
                <w:rFonts w:ascii="Aptos" w:hAnsi="Aptos"/>
                <w:sz w:val="16"/>
              </w:rPr>
              <w:t>Status</w:t>
            </w:r>
          </w:p>
        </w:tc>
        <w:tc>
          <w:tcPr>
            <w:tcW w:type="dxa" w:w="8129"/>
            <w:shd w:fill="EAF1F3"/>
          </w:tcPr>
          <w:p>
            <w:r>
              <w:rPr>
                <w:rFonts w:ascii="Aptos" w:hAnsi="Aptos"/>
                <w:sz w:val="16"/>
              </w:rPr>
              <w:t>Closed implementation batch; full local gate passed; loaded-world acceptance remains separate</w:t>
            </w:r>
          </w:p>
        </w:tc>
      </w:tr>
      <w:tr>
        <w:trPr>
          <w:cantSplit/>
        </w:trPr>
        <w:tc>
          <w:tcPr>
            <w:tcW w:type="dxa" w:w="2037"/>
          </w:tcPr>
          <w:p>
            <w:r>
              <w:rPr>
                <w:rFonts w:ascii="Aptos" w:hAnsi="Aptos"/>
                <w:sz w:val="16"/>
              </w:rPr>
              <w:t>Threads</w:t>
            </w:r>
          </w:p>
        </w:tc>
        <w:tc>
          <w:tcPr>
            <w:tcW w:type="dxa" w:w="8129"/>
          </w:tcPr>
          <w:p>
            <w:r>
              <w:rPr>
                <w:rFonts w:ascii="Aptos" w:hAnsi="Aptos"/>
                <w:sz w:val="16"/>
              </w:rPr>
              <w:t>T-001, T-002</w:t>
            </w:r>
          </w:p>
        </w:tc>
      </w:tr>
    </w:tbl>
    <w:p>
      <w:pPr>
        <w:pStyle w:val="Heading1"/>
      </w:pPr>
      <w:r>
        <w:t>Living auditory orientation</w:t>
      </w:r>
    </w:p>
    <w:p>
      <w:r>
        <w:t>The sole ZAO.Driver for living Afflicted and Crossed now explicitly admits the sister's shared auditory orienting policy after its own action arbitration. SourceUse, queued native actions, combat and other owned work retain precedence. An admitted moving actor can glance with the head; only idle unclaimed execution may request a body pivot. Neither admission creates a route nor takes ownership of an existing one. Both states retain their actual human shell and ZAO policy.</w:t>
      </w:r>
    </w:p>
    <w:p>
      <w:r>
        <w:t>SAO C89 supplies personally acquired native sound-occurrence tokens, finite cue freshness, existing Neuro clarity and motor steadiness, and the native animation actuator. Repeated scans of one sound cannot restart or prolong the glance. Legacy, malformed, restored or stale cues have no pulse authority. Native rejection remains a refused request, and retry expires. Hearing supplies a direction; actor identification still requires an actual visual-cone check.</w:t>
      </w:r>
    </w:p>
    <w:p>
      <w:pPr>
        <w:pStyle w:val="Heading1"/>
      </w:pPr>
      <w:r>
        <w:t>State-owned elapsed restoration</w:t>
      </w:r>
    </w:p>
    <w:p>
      <w:r>
        <w:t>ZAO_ExecutionOwner.beginDormancy admits only the exact published ZAO person, body and owner token. ZAO_Maintenance.beginDormancy captures a bounded detached copy of its own maintenance field. SAO's body restoration continues elapsed physiology through the existing registered ZAO owner while replaying its own native pharmacology. If restoration fails, rollbackDormancy restores only that captured maintenance field, once. Successful restoration drops the transient snapshot. The transaction creates no durable body reference or second state owner.</w:t>
      </w:r>
    </w:p>
    <w:p>
      <w:r>
        <w:t>The paired C89 Body controls preserve the original foreign release journal across incomplete removal and reload, validate it before native removal, refuse a replaced owner, and allocate no shell when replay ownership is unavailable. Failed native restoration retires or retains its exact partial shell for teardown; a failed rollback keeps an explicit unknown-state boundary.</w:t>
      </w:r>
    </w:p>
    <w:p>
      <w:pPr>
        <w:pStyle w:val="Heading1"/>
      </w:pPr>
      <w:r>
        <w:t>Verification</w:t>
      </w:r>
    </w:p>
    <w:p>
      <w:r>
        <w:t>tools/living_orientation_test.py is a thin adapter to SAO's source-root instruments. It executes this repository's current Driver, Maintenance and ExecutionOwner bytes in the installed Kahlua VM and checks their receipt hashes. The shared runtime and test fixtures remain owned by SAO. Border 12 retains its original eleven defect controls, then runs the adapter. tools/check.sh and all sixteen existing border commands are unchanged.</w:t>
      </w:r>
    </w:p>
    <w:tbl>
      <w:tblPr>
        <w:tblStyle w:val="TableGrid"/>
        <w:tblW w:type="dxa" w:w="10166"/>
        <w:jc w:val="center"/>
        <w:tblLayout w:type="fixed"/>
        <w:tblLook w:firstColumn="1" w:firstRow="1" w:lastColumn="0" w:lastRow="0" w:noHBand="0" w:noVBand="1" w:val="04A0"/>
        <w:tblInd w:type="dxa" w:w="120"/>
      </w:tblPr>
      <w:tblGrid>
        <w:gridCol w:w="2829"/>
        <w:gridCol w:w="1400"/>
        <w:gridCol w:w="5937"/>
      </w:tblGrid>
      <w:tr>
        <w:trPr>
          <w:cantSplit/>
          <w:tblHeader/>
        </w:trPr>
        <w:tc>
          <w:tcPr>
            <w:tcW w:type="dxa" w:w="2829"/>
            <w:shd w:fill="316273"/>
          </w:tcPr>
          <w:p>
            <w:r>
              <w:rPr>
                <w:rFonts w:ascii="Aptos" w:hAnsi="Aptos"/>
                <w:b/>
                <w:color w:val="FFFFFF"/>
                <w:sz w:val="16"/>
              </w:rPr>
              <w:t>Instrument</w:t>
            </w:r>
          </w:p>
        </w:tc>
        <w:tc>
          <w:tcPr>
            <w:tcW w:type="dxa" w:w="1400"/>
            <w:shd w:fill="316273"/>
          </w:tcPr>
          <w:p>
            <w:r>
              <w:rPr>
                <w:rFonts w:ascii="Aptos" w:hAnsi="Aptos"/>
                <w:b/>
                <w:color w:val="FFFFFF"/>
                <w:sz w:val="16"/>
              </w:rPr>
              <w:t>Passing private assembled evidence</w:t>
            </w:r>
          </w:p>
        </w:tc>
        <w:tc>
          <w:tcPr>
            <w:tcW w:type="dxa" w:w="5937"/>
            <w:shd w:fill="316273"/>
          </w:tcPr>
          <w:p>
            <w:r>
              <w:rPr>
                <w:rFonts w:ascii="Aptos" w:hAnsi="Aptos"/>
                <w:b/>
                <w:color w:val="FFFFFF"/>
                <w:sz w:val="16"/>
              </w:rPr>
              <w:t>Failing defect controls</w:t>
            </w:r>
          </w:p>
        </w:tc>
      </w:tr>
      <w:tr>
        <w:trPr>
          <w:cantSplit/>
        </w:trPr>
        <w:tc>
          <w:tcPr>
            <w:tcW w:type="dxa" w:w="2829"/>
          </w:tcPr>
          <w:p>
            <w:r>
              <w:rPr>
                <w:rFonts w:ascii="Aptos" w:hAnsi="Aptos"/>
                <w:sz w:val="16"/>
              </w:rPr>
              <w:t>Shared auditory policy and actual ZAO Driver</w:t>
            </w:r>
          </w:p>
        </w:tc>
        <w:tc>
          <w:tcPr>
            <w:tcW w:type="dxa" w:w="1400"/>
          </w:tcPr>
          <w:p>
            <w:r>
              <w:rPr>
                <w:rFonts w:ascii="Aptos" w:hAnsi="Aptos"/>
                <w:sz w:val="16"/>
              </w:rPr>
              <w:t>45 cases</w:t>
            </w:r>
          </w:p>
        </w:tc>
        <w:tc>
          <w:tcPr>
            <w:tcW w:type="dxa" w:w="5937"/>
          </w:tcPr>
          <w:p>
            <w:r>
              <w:rPr>
                <w:rFonts w:ascii="Aptos" w:hAnsi="Aptos"/>
                <w:sz w:val="16"/>
              </w:rPr>
              <w:t>12, including repeated pulse, owner mismatch, sleep, action queue and unwired ZAO admission</w:t>
            </w:r>
          </w:p>
        </w:tc>
      </w:tr>
      <w:tr>
        <w:trPr>
          <w:cantSplit/>
        </w:trPr>
        <w:tc>
          <w:tcPr>
            <w:tcW w:type="dxa" w:w="2829"/>
            <w:shd w:fill="EAF1F3"/>
          </w:tcPr>
          <w:p>
            <w:r>
              <w:rPr>
                <w:rFonts w:ascii="Aptos" w:hAnsi="Aptos"/>
                <w:sz w:val="16"/>
              </w:rPr>
              <w:t>Actual Body, pharmacology and ZAO elapsed owner</w:t>
            </w:r>
          </w:p>
        </w:tc>
        <w:tc>
          <w:tcPr>
            <w:tcW w:type="dxa" w:w="1400"/>
            <w:shd w:fill="EAF1F3"/>
          </w:tcPr>
          <w:p>
            <w:r>
              <w:rPr>
                <w:rFonts w:ascii="Aptos" w:hAnsi="Aptos"/>
                <w:sz w:val="16"/>
              </w:rPr>
              <w:t>16 cases</w:t>
            </w:r>
          </w:p>
        </w:tc>
        <w:tc>
          <w:tcPr>
            <w:tcW w:type="dxa" w:w="5937"/>
            <w:shd w:fill="EAF1F3"/>
          </w:tcPr>
          <w:p>
            <w:r>
              <w:rPr>
                <w:rFonts w:ascii="Aptos" w:hAnsi="Aptos"/>
                <w:sz w:val="16"/>
              </w:rPr>
              <w:t>14, including aliased maintenance snapshot, skipped rollback, invalid removal and replaced adapter</w:t>
            </w:r>
          </w:p>
        </w:tc>
      </w:tr>
    </w:tbl>
    <w:p>
      <w:r>
        <w:t>The assembled proof is retained in _scratch/a44/shared-assembled.json. The adapter defaults to adjacent production SAO, accepts an explicit source root, and uses temporary outputs. An absent game or JDK is reported as SKIPPED. On an installed-engine host, missing C89 verification inputs are a failure. The unchanged full production bash tools/check.sh passed all sixteen borders with exit code zero and no skips against the adjacent C89 production source. Its transcript is _scratch/a44/gate-production.log, SHA-256 c1a269ca79b1c92fb482cd2b170f9cf94c3e0db825e938f1910efb87b324bbba. The receipt captures the source inventory and confirms no code or tool changed during the gate. All original borders and controls remain required. The pre-commit hook reruns the same gate on the staged close; forge verification remains explicit about unavailable native engine checks.</w:t>
      </w:r>
    </w:p>
    <w:p>
      <w:pPr>
        <w:pStyle w:val="Heading1"/>
      </w:pPr>
      <w:r>
        <w:t>Promoted runtime inputs</w:t>
      </w:r>
    </w:p>
    <w:p>
      <w:r>
        <w:t>These are the three frozen inputs promoted from the paired C89 work. Source SHA-256 values describe the exact working-file bytes before Git normalization.</w:t>
      </w:r>
    </w:p>
    <w:tbl>
      <w:tblPr>
        <w:tblStyle w:val="TableGrid"/>
        <w:tblW w:type="dxa" w:w="10166"/>
        <w:jc w:val="center"/>
        <w:tblLayout w:type="fixed"/>
        <w:tblLook w:firstColumn="1" w:firstRow="1" w:lastColumn="0" w:lastRow="0" w:noHBand="0" w:noVBand="1" w:val="04A0"/>
        <w:tblInd w:type="dxa" w:w="120"/>
      </w:tblPr>
      <w:tblGrid>
        <w:gridCol w:w="3327"/>
        <w:gridCol w:w="6839"/>
      </w:tblGrid>
      <w:tr>
        <w:trPr>
          <w:cantSplit/>
          <w:tblHeader/>
        </w:trPr>
        <w:tc>
          <w:tcPr>
            <w:tcW w:type="dxa" w:w="3327"/>
            <w:shd w:fill="316273"/>
          </w:tcPr>
          <w:p>
            <w:r>
              <w:rPr>
                <w:rFonts w:ascii="Aptos" w:hAnsi="Aptos"/>
                <w:b/>
                <w:color w:val="FFFFFF"/>
                <w:sz w:val="16"/>
              </w:rPr>
              <w:t>ZAO runtime file</w:t>
            </w:r>
          </w:p>
        </w:tc>
        <w:tc>
          <w:tcPr>
            <w:tcW w:type="dxa" w:w="6839"/>
            <w:shd w:fill="316273"/>
          </w:tcPr>
          <w:p>
            <w:r>
              <w:rPr>
                <w:rFonts w:ascii="Aptos" w:hAnsi="Aptos"/>
                <w:b/>
                <w:color w:val="FFFFFF"/>
                <w:sz w:val="16"/>
              </w:rPr>
              <w:t>SHA-256</w:t>
            </w:r>
          </w:p>
        </w:tc>
      </w:tr>
      <w:tr>
        <w:trPr>
          <w:cantSplit/>
        </w:trPr>
        <w:tc>
          <w:tcPr>
            <w:tcW w:type="dxa" w:w="3327"/>
          </w:tcPr>
          <w:p>
            <w:r>
              <w:rPr>
                <w:rFonts w:ascii="Aptos" w:hAnsi="Aptos"/>
                <w:sz w:val="16"/>
              </w:rPr>
              <w:t>client/ZAO_Driver.lua</w:t>
            </w:r>
          </w:p>
        </w:tc>
        <w:tc>
          <w:tcPr>
            <w:tcW w:type="dxa" w:w="6839"/>
          </w:tcPr>
          <w:p>
            <w:r>
              <w:rPr>
                <w:rFonts w:ascii="Aptos" w:hAnsi="Aptos"/>
                <w:sz w:val="16"/>
              </w:rPr>
              <w:t>7251b03834df1db384f51d26b65b5675626145e72bef391eb5ecffbeac36bf91</w:t>
            </w:r>
          </w:p>
        </w:tc>
      </w:tr>
      <w:tr>
        <w:trPr>
          <w:cantSplit/>
        </w:trPr>
        <w:tc>
          <w:tcPr>
            <w:tcW w:type="dxa" w:w="3327"/>
            <w:shd w:fill="EAF1F3"/>
          </w:tcPr>
          <w:p>
            <w:r>
              <w:rPr>
                <w:rFonts w:ascii="Aptos" w:hAnsi="Aptos"/>
                <w:sz w:val="16"/>
              </w:rPr>
              <w:t>shared/ZAO_Maintenance.lua</w:t>
            </w:r>
          </w:p>
        </w:tc>
        <w:tc>
          <w:tcPr>
            <w:tcW w:type="dxa" w:w="6839"/>
            <w:shd w:fill="EAF1F3"/>
          </w:tcPr>
          <w:p>
            <w:r>
              <w:rPr>
                <w:rFonts w:ascii="Aptos" w:hAnsi="Aptos"/>
                <w:sz w:val="16"/>
              </w:rPr>
              <w:t>3f625e76397b91f26ab2afdc3c980aab5f7a51bb6a5fbaf12551cbedd0b7eadb</w:t>
            </w:r>
          </w:p>
        </w:tc>
      </w:tr>
      <w:tr>
        <w:trPr>
          <w:cantSplit/>
        </w:trPr>
        <w:tc>
          <w:tcPr>
            <w:tcW w:type="dxa" w:w="3327"/>
          </w:tcPr>
          <w:p>
            <w:r>
              <w:rPr>
                <w:rFonts w:ascii="Aptos" w:hAnsi="Aptos"/>
                <w:sz w:val="16"/>
              </w:rPr>
              <w:t>shared/ZAO_ExecutionOwner.lua</w:t>
            </w:r>
          </w:p>
        </w:tc>
        <w:tc>
          <w:tcPr>
            <w:tcW w:type="dxa" w:w="6839"/>
          </w:tcPr>
          <w:p>
            <w:r>
              <w:rPr>
                <w:rFonts w:ascii="Aptos" w:hAnsi="Aptos"/>
                <w:sz w:val="16"/>
              </w:rPr>
              <w:t>f178fc53577638f9b4d524abffc1e223ad1fdf12e7dab6ace61761e51e7c156b</w:t>
            </w:r>
          </w:p>
        </w:tc>
      </w:tr>
    </w:tbl>
    <w:p>
      <w:pPr>
        <w:pStyle w:val="Heading1"/>
      </w:pPr>
      <w:r>
        <w:t>Version and evidence boundary</w:t>
      </w:r>
    </w:p>
    <w:p>
      <w:r>
        <w:t>This coherently integrates existing living execution with shared native orientation and state-owned elapsed restoration. It is a kohai unit under the version machine and introduces no pathogen state, planner or action family. The Lua controls establish admission and ownership; native pose and gaze are measured by SAO's actuator instruments. They do not establish loaded-world presentation, operator acceptance, balance or long-horizon ecology. Those remain separate work. No scenario or dataset admission is ratified here.</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A44 - Living orientation and elapsed rollback</dc:title>
  <dc:subject>Readable export of Batches/A44-20260927-0512Z-2212PST-living-orientation-and-elapsed-rollback.md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