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Zombie Awareness Overhaul - governance</w:t>
      </w:r>
    </w:p>
    <w:tbl>
      <w:tblPr>
        <w:tblStyle w:val="TableGrid"/>
        <w:tblW w:type="dxa" w:w="10166"/>
        <w:jc w:val="center"/>
        <w:tblLayout w:type="fixed"/>
        <w:tblLook w:firstColumn="1" w:firstRow="1" w:lastColumn="0" w:lastRow="0" w:noHBand="0" w:noVBand="1" w:val="04A0"/>
        <w:tblInd w:type="dxa" w:w="120"/>
      </w:tblPr>
      <w:tblGrid>
        <w:gridCol w:w="2997"/>
        <w:gridCol w:w="7169"/>
      </w:tblGrid>
      <w:tr>
        <w:trPr>
          <w:cantSplit/>
          <w:tblHeader/>
        </w:trPr>
        <w:tc>
          <w:tcPr>
            <w:tcW w:type="dxa" w:w="2997"/>
            <w:shd w:fill="316273"/>
          </w:tcPr>
          <w:p>
            <w:r>
              <w:rPr>
                <w:rFonts w:ascii="Aptos" w:hAnsi="Aptos"/>
                <w:b/>
                <w:color w:val="FFFFFF"/>
                <w:sz w:val="16"/>
              </w:rPr>
              <w:t>Document</w:t>
            </w:r>
          </w:p>
        </w:tc>
        <w:tc>
          <w:tcPr>
            <w:tcW w:type="dxa" w:w="7169"/>
            <w:shd w:fill="316273"/>
          </w:tcPr>
          <w:p>
            <w:r>
              <w:rPr>
                <w:rFonts w:ascii="Aptos" w:hAnsi="Aptos"/>
                <w:b/>
                <w:color w:val="FFFFFF"/>
                <w:sz w:val="16"/>
              </w:rPr>
              <w:t>Zombie Awareness Overhaul Governance</w:t>
            </w:r>
          </w:p>
        </w:tc>
      </w:tr>
      <w:tr>
        <w:trPr>
          <w:cantSplit/>
        </w:trPr>
        <w:tc>
          <w:tcPr>
            <w:tcW w:type="dxa" w:w="2997"/>
          </w:tcPr>
          <w:p>
            <w:r>
              <w:rPr>
                <w:rFonts w:ascii="Aptos" w:hAnsi="Aptos"/>
                <w:sz w:val="16"/>
              </w:rPr>
              <w:t>Version</w:t>
            </w:r>
          </w:p>
        </w:tc>
        <w:tc>
          <w:tcPr>
            <w:tcW w:type="dxa" w:w="7169"/>
          </w:tcPr>
          <w:p>
            <w:r>
              <w:rPr>
                <w:rFonts w:ascii="Aptos" w:hAnsi="Aptos"/>
                <w:sz w:val="16"/>
              </w:rPr>
              <w:t>0.5.4.0-pre-alpha</w:t>
            </w:r>
          </w:p>
        </w:tc>
      </w:tr>
      <w:tr>
        <w:trPr>
          <w:cantSplit/>
        </w:trPr>
        <w:tc>
          <w:tcPr>
            <w:tcW w:type="dxa" w:w="2997"/>
            <w:shd w:fill="EAF1F3"/>
          </w:tcPr>
          <w:p>
            <w:r>
              <w:rPr>
                <w:rFonts w:ascii="Aptos" w:hAnsi="Aptos"/>
                <w:sz w:val="16"/>
              </w:rPr>
              <w:t>Design authority</w:t>
            </w:r>
          </w:p>
        </w:tc>
        <w:tc>
          <w:tcPr>
            <w:tcW w:type="dxa" w:w="7169"/>
            <w:shd w:fill="EAF1F3"/>
          </w:tcPr>
          <w:p>
            <w:r>
              <w:rPr>
                <w:rFonts w:ascii="Aptos" w:hAnsi="Aptos"/>
                <w:sz w:val="16"/>
              </w:rPr>
              <w:t>ellyj3rain</w:t>
            </w:r>
          </w:p>
        </w:tc>
      </w:tr>
      <w:tr>
        <w:trPr>
          <w:cantSplit/>
        </w:trPr>
        <w:tc>
          <w:tcPr>
            <w:tcW w:type="dxa" w:w="2997"/>
          </w:tcPr>
          <w:p>
            <w:r>
              <w:rPr>
                <w:rFonts w:ascii="Aptos" w:hAnsi="Aptos"/>
                <w:sz w:val="16"/>
              </w:rPr>
              <w:t>Repository</w:t>
            </w:r>
          </w:p>
        </w:tc>
        <w:tc>
          <w:tcPr>
            <w:tcW w:type="dxa" w:w="7169"/>
          </w:tcPr>
          <w:p>
            <w:r>
              <w:rPr>
                <w:rFonts w:ascii="Aptos" w:hAnsi="Aptos"/>
                <w:sz w:val="16"/>
              </w:rPr>
              <w:t>GOVERNANCE.md</w:t>
            </w:r>
          </w:p>
        </w:tc>
      </w:tr>
      <w:tr>
        <w:trPr>
          <w:cantSplit/>
        </w:trPr>
        <w:tc>
          <w:tcPr>
            <w:tcW w:type="dxa" w:w="2997"/>
            <w:shd w:fill="EAF1F3"/>
          </w:tcPr>
          <w:p>
            <w:r>
              <w:rPr>
                <w:rFonts w:ascii="Aptos" w:hAnsi="Aptos"/>
                <w:sz w:val="16"/>
              </w:rPr>
              <w:t>Status</w:t>
            </w:r>
          </w:p>
        </w:tc>
        <w:tc>
          <w:tcPr>
            <w:tcW w:type="dxa" w:w="7169"/>
            <w:shd w:fill="EAF1F3"/>
          </w:tcPr>
          <w:p>
            <w:r>
              <w:rPr>
                <w:rFonts w:ascii="Aptos" w:hAnsi="Aptos"/>
                <w:sz w:val="16"/>
              </w:rPr>
              <w:t>ACTIVE - operating discipline for this repository.</w:t>
            </w:r>
          </w:p>
        </w:tc>
      </w:tr>
    </w:tbl>
    <w:p>
      <w:r>
        <w:t>Operating discipline for this repository. NEO.md is the instruction surface and states the batch and commit shape; this file states the judgement rules. CLAUDE.md and AGENTS.md are autoload shims pointing at NEO.md.</w:t>
      </w:r>
    </w:p>
    <w:p>
      <w:r>
        <w:t>The operator (ellyj3rain) is the design authority and the judge of how the game looks and plays. Code-level verification never settles that question.</w:t>
      </w:r>
    </w:p>
    <w:p>
      <w:r>
        <w:t>README.md is the human entry point. The canonical doc-pack is MEMORY.md, CORE.md, ARCHITECTURE.md, GOVERNANCE.md, DECISION_REGISTRY.md, FINDINGS.md, BATCH_LOG.md, ROADMAP.md, SESSION_STATE.md, VERSION. Batch records live under Batches/ in one alphanumeric sequence, ZAO's own, from [A1]. MEMORY.md indexes every root document and states which surfaces are canonical, regulatory, append-only, or historical. This is the filing model of ../survivor-awareness and ../colonist-awareness, adopted whole; there is no third system.</w:t>
      </w:r>
    </w:p>
    <w:p>
      <w:pPr>
        <w:pStyle w:val="Heading1"/>
      </w:pPr>
      <w:r>
        <w:t>Ground rules</w:t>
      </w:r>
    </w:p>
    <w:p>
      <w:pPr>
        <w:pStyle w:val="ListBullet"/>
      </w:pPr>
      <w:r>
        <w:t>Verified APIs only. Ground truth is the installed game: the decompiled</w:t>
      </w:r>
    </w:p>
    <w:p>
      <w:r>
        <w:t>projectzomboid.jar and the shipped media/lua + media/scripts trees. Never assert engine behavior from memory. A statement without a file and line behind it is a hypothesis and is labelled one.</w:t>
      </w:r>
    </w:p>
    <w:p>
      <w:pPr>
        <w:pStyle w:val="ListBullet"/>
      </w:pPr>
      <w:r>
        <w:t>Tools are verified before their output is trusted. An analysis script is</w:t>
      </w:r>
    </w:p>
    <w:p>
      <w:r>
        <w:t>not evidence until its own correctness is checked against a known-bad control. Report the corrected figure, and say that it was corrected.</w:t>
      </w:r>
    </w:p>
    <w:p>
      <w:pPr>
        <w:pStyle w:val="ListBullet"/>
      </w:pPr>
      <w:r>
        <w:t>The engine's own seams. Reach past a seam only when none exists, and</w:t>
      </w:r>
    </w:p>
    <w:p>
      <w:r>
        <w:t>record why in DECISION_REGISTRY.md.</w:t>
      </w:r>
    </w:p>
    <w:p>
      <w:pPr>
        <w:pStyle w:val="ListBullet"/>
      </w:pPr>
      <w:r>
        <w:t>No omniscience, no oblivion. Symmetric failures, and death does not</w:t>
      </w:r>
    </w:p>
    <w:p>
      <w:r>
        <w:t>lift them: a turned body that pathfinds against facts its person never held is the same defect as a survivor doing it.</w:t>
      </w:r>
    </w:p>
    <w:p>
      <w:pPr>
        <w:pStyle w:val="ListBullet"/>
      </w:pPr>
      <w:r>
        <w:t>Retention is never addition. Decay only subtracts from the record. A</w:t>
      </w:r>
    </w:p>
    <w:p>
      <w:r>
        <w:t>capability appearing after the turn that the person did not carry into it is a defect, whatever it does for the encounter.</w:t>
      </w:r>
    </w:p>
    <w:p>
      <w:pPr>
        <w:pStyle w:val="ListBullet"/>
      </w:pPr>
      <w:r>
        <w:t>Declarations are promises. Settings copy and in-game text match shipped</w:t>
      </w:r>
    </w:p>
    <w:p>
      <w:r>
        <w:t>behavior exactly.</w:t>
      </w:r>
    </w:p>
    <w:p>
      <w:pPr>
        <w:pStyle w:val="ListBullet"/>
      </w:pPr>
      <w:r>
        <w:t>Concepts are not copy. Design terminology directs the work; it reaches</w:t>
      </w:r>
    </w:p>
    <w:p>
      <w:r>
        <w:t>the UI only when supplied or approved as player-facing text. Provisional shorthand from ideation (the operator's or anyone's) never ships as a name.</w:t>
      </w:r>
    </w:p>
    <w:p>
      <w:pPr>
        <w:pStyle w:val="ListBullet"/>
      </w:pPr>
      <w:r>
        <w:t>Bespoke implementation. Everything in this tree is written for this</w:t>
      </w:r>
    </w:p>
    <w:p>
      <w:r>
        <w:t>project. Reference reading of other mods is fine; copying is not. House instruments adopted from SAO and CAO state their lineage in their own docstrings.</w:t>
      </w:r>
    </w:p>
    <w:p>
      <w:pPr>
        <w:pStyle w:val="ListBullet"/>
      </w:pPr>
      <w:r>
        <w:t>Never name a mod in code. mod.info metadata and CREDITS.md-class</w:t>
      </w:r>
    </w:p>
    <w:p>
      <w:r>
        <w:t>documentation are exempt.</w:t>
      </w:r>
    </w:p>
    <w:p>
      <w:pPr>
        <w:pStyle w:val="ListBullet"/>
      </w:pPr>
      <w:r>
        <w:t>Local-first. The project tree is canonical; remotes publish that state.</w:t>
      </w:r>
    </w:p>
    <w:p>
      <w:pPr>
        <w:pStyle w:val="Heading1"/>
      </w:pPr>
      <w:r>
        <w:t>Boundaries set by the operator</w:t>
      </w:r>
    </w:p>
    <w:p>
      <w:pPr>
        <w:pStyle w:val="ListBullet"/>
      </w:pPr>
      <w:r>
        <w:t>Reserved decisions. Strain names, rarity, sandbox enable defaults,</w:t>
      </w:r>
    </w:p>
    <w:p>
      <w:r>
        <w:t>whether the player walks the same mutation axes as NPCs, and naming in general. These are asked before they are needed and never authored into prose to look finished. The open-fork ledger is in ROADMAP.md.</w:t>
      </w:r>
    </w:p>
    <w:p>
      <w:pPr>
        <w:pStyle w:val="ListBullet"/>
      </w:pPr>
      <w:r>
        <w:t>The two mechanisms are not merged. Zombie intelligence and</w:t>
      </w:r>
    </w:p>
    <w:p>
      <w:r>
        <w:t>decay/mutation are litigated separately (DR-001). Merging two different ideas into one mechanic so the spec looks clean is a defect.</w:t>
      </w:r>
    </w:p>
    <w:p>
      <w:pPr>
        <w:pStyle w:val="ListBullet"/>
      </w:pPr>
      <w:r>
        <w:t>Play is later, one project at a time, when the operator says. ZAO and</w:t>
      </w:r>
    </w:p>
    <w:p>
      <w:r>
        <w:t>SAO are not playtested in the same window. No test requests, no session polling, no orbiting the operator's play.</w:t>
      </w:r>
    </w:p>
    <w:p>
      <w:pPr>
        <w:pStyle w:val="ListBullet"/>
      </w:pPr>
      <w:r>
        <w:t>Rare is not a reason to stub. Settlement formation ships whole or not</w:t>
      </w:r>
    </w:p>
    <w:p>
      <w:r>
        <w:t>at all (DR-006).</w:t>
      </w:r>
    </w:p>
    <w:p>
      <w:pPr>
        <w:pStyle w:val="ListBullet"/>
      </w:pPr>
      <w:r>
        <w:t>Recovery mods are never dependencies. Used where loaded, replaced by</w:t>
      </w:r>
    </w:p>
    <w:p>
      <w:r>
        <w:t>ZAO's own course where not (DR-005).</w:t>
      </w:r>
    </w:p>
    <w:p>
      <w:pPr>
        <w:pStyle w:val="Heading1"/>
      </w:pPr>
      <w:r>
        <w:t>Execution discipline</w:t>
      </w:r>
    </w:p>
    <w:p>
      <w:pPr>
        <w:pStyle w:val="ListBullet"/>
      </w:pPr>
      <w:r>
        <w:t>Operator-mediated. Substantive direction comes from the operator. Where</w:t>
      </w:r>
    </w:p>
    <w:p>
      <w:r>
        <w:t>a choice is genuinely arbitrary and consequential it is surfaced rather than assumed; where a default is obvious it is taken and stated. When the operator has left a fork, ask.</w:t>
      </w:r>
    </w:p>
    <w:p>
      <w:pPr>
        <w:pStyle w:val="ListBullet"/>
      </w:pPr>
      <w:r>
        <w:t>Every problem in a message is in scope. Two complaints that look</w:t>
      </w:r>
    </w:p>
    <w:p>
      <w:r>
        <w:t>similar are usually two defects. Fix the whole population, not the named instance; if something is blocked, finish everything else and say plainly what was left and why.</w:t>
      </w:r>
    </w:p>
    <w:p>
      <w:pPr>
        <w:pStyle w:val="ListBullet"/>
      </w:pPr>
      <w:r>
        <w:t>A representative example is not the design seed. When the operator</w:t>
      </w:r>
    </w:p>
    <w:p>
      <w:r>
        <w:t>illustrates a principle with a case, build the principle, not the case.</w:t>
      </w:r>
    </w:p>
    <w:p>
      <w:pPr>
        <w:pStyle w:val="ListBullet"/>
      </w:pPr>
      <w:r>
        <w:t>Batches. One designed seam per batch, nameable in a sentence. Recorded</w:t>
      </w:r>
    </w:p>
    <w:p>
      <w:r>
        <w:t>in BATCH_LOG.md with a record under Batches/; threads tag work across time in Batches/THREADS.md.</w:t>
      </w:r>
    </w:p>
    <w:p>
      <w:pPr>
        <w:pStyle w:val="ListBullet"/>
      </w:pPr>
      <w:r>
        <w:t>Versioning. The coordinate is tools/version_replay.py's output —</w:t>
      </w:r>
    </w:p>
    <w:p>
      <w:r>
        <w:t>CAO's machine, adopted (DR-009 here; SAO's DR-013). Nobody picks the number.</w:t>
      </w:r>
    </w:p>
    <w:p>
      <w:pPr>
        <w:pStyle w:val="ListBullet"/>
      </w:pPr>
      <w:r>
        <w:t>Project history and forge history are separate things. The batch</w:t>
      </w:r>
    </w:p>
    <w:p>
      <w:r>
        <w:t>records, decision registry, findings ledger, and this doc-pack are the portable project history; a forge history publishes the canonical tree and carries no project meaning of its own.</w:t>
      </w:r>
    </w:p>
    <w:p>
      <w:pPr>
        <w:pStyle w:val="Heading1"/>
      </w:pPr>
      <w:r>
        <w:t>Evidence standard</w:t>
      </w:r>
    </w:p>
    <w:p>
      <w:r>
        <w:t>A finding is admitted to FINDINGS.md when it is reproducible from stated inputs and its verification method is recorded. The analysis discipline in SAO's GOVERNANCE.md — controls that reproduce the real defect, instruments distinguishing "found nothing" from "cannot see it", hand-checks on fresh tools, asking the engine rather than memory — binds here in full; its citations live in SAO's ledgers and are not respelled into this file.</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Zombie Awareness Overhaul - governance</dc:title>
  <dc:subject>Readable export of GOVERNANCE.md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