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316273"/>
          <w:sz w:val="48"/>
        </w:rPr>
        <w:t>Roadmap</w:t>
      </w:r>
    </w:p>
    <w:tbl>
      <w:tblPr>
        <w:tblStyle w:val="TableGrid"/>
        <w:tblW w:type="dxa" w:w="10166"/>
        <w:jc w:val="center"/>
        <w:tblLayout w:type="fixed"/>
        <w:tblLook w:firstColumn="1" w:firstRow="1" w:lastColumn="0" w:lastRow="0" w:noHBand="0" w:noVBand="1" w:val="04A0"/>
        <w:tblInd w:type="dxa" w:w="120"/>
      </w:tblPr>
      <w:tblGrid>
        <w:gridCol w:w="2731"/>
        <w:gridCol w:w="7435"/>
      </w:tblGrid>
      <w:tr>
        <w:trPr>
          <w:cantSplit/>
          <w:tblHeader/>
        </w:trPr>
        <w:tc>
          <w:tcPr>
            <w:tcW w:type="dxa" w:w="2731"/>
            <w:shd w:fill="316273"/>
          </w:tcPr>
          <w:p>
            <w:r>
              <w:rPr>
                <w:rFonts w:ascii="Aptos" w:hAnsi="Aptos"/>
                <w:b/>
                <w:color w:val="FFFFFF"/>
                <w:sz w:val="16"/>
              </w:rPr>
              <w:t>Document</w:t>
            </w:r>
          </w:p>
        </w:tc>
        <w:tc>
          <w:tcPr>
            <w:tcW w:type="dxa" w:w="7435"/>
            <w:shd w:fill="316273"/>
          </w:tcPr>
          <w:p>
            <w:r>
              <w:rPr>
                <w:rFonts w:ascii="Aptos" w:hAnsi="Aptos"/>
                <w:b/>
                <w:color w:val="FFFFFF"/>
                <w:sz w:val="16"/>
              </w:rPr>
              <w:t>Zombie Awareness Overhaul Roadmap</w:t>
            </w:r>
          </w:p>
        </w:tc>
      </w:tr>
      <w:tr>
        <w:trPr>
          <w:cantSplit/>
        </w:trPr>
        <w:tc>
          <w:tcPr>
            <w:tcW w:type="dxa" w:w="2731"/>
          </w:tcPr>
          <w:p>
            <w:r>
              <w:rPr>
                <w:rFonts w:ascii="Aptos" w:hAnsi="Aptos"/>
                <w:sz w:val="16"/>
              </w:rPr>
              <w:t>Version</w:t>
            </w:r>
          </w:p>
        </w:tc>
        <w:tc>
          <w:tcPr>
            <w:tcW w:type="dxa" w:w="7435"/>
          </w:tcPr>
          <w:p>
            <w:r>
              <w:rPr>
                <w:rFonts w:ascii="Aptos" w:hAnsi="Aptos"/>
                <w:sz w:val="16"/>
              </w:rPr>
              <w:t>0.5.4.0-pre-alpha</w:t>
            </w:r>
          </w:p>
        </w:tc>
      </w:tr>
      <w:tr>
        <w:trPr>
          <w:cantSplit/>
        </w:trPr>
        <w:tc>
          <w:tcPr>
            <w:tcW w:type="dxa" w:w="2731"/>
            <w:shd w:fill="EAF1F3"/>
          </w:tcPr>
          <w:p>
            <w:r>
              <w:rPr>
                <w:rFonts w:ascii="Aptos" w:hAnsi="Aptos"/>
                <w:sz w:val="16"/>
              </w:rPr>
              <w:t>Author</w:t>
            </w:r>
          </w:p>
        </w:tc>
        <w:tc>
          <w:tcPr>
            <w:tcW w:type="dxa" w:w="7435"/>
            <w:shd w:fill="EAF1F3"/>
          </w:tcPr>
          <w:p>
            <w:r>
              <w:rPr>
                <w:rFonts w:ascii="Aptos" w:hAnsi="Aptos"/>
                <w:sz w:val="16"/>
              </w:rPr>
              <w:t>ellyj3rain</w:t>
            </w:r>
          </w:p>
        </w:tc>
      </w:tr>
      <w:tr>
        <w:trPr>
          <w:cantSplit/>
        </w:trPr>
        <w:tc>
          <w:tcPr>
            <w:tcW w:type="dxa" w:w="2731"/>
          </w:tcPr>
          <w:p>
            <w:r>
              <w:rPr>
                <w:rFonts w:ascii="Aptos" w:hAnsi="Aptos"/>
                <w:sz w:val="16"/>
              </w:rPr>
              <w:t>Repository</w:t>
            </w:r>
          </w:p>
        </w:tc>
        <w:tc>
          <w:tcPr>
            <w:tcW w:type="dxa" w:w="7435"/>
          </w:tcPr>
          <w:p>
            <w:r>
              <w:rPr>
                <w:rFonts w:ascii="Aptos" w:hAnsi="Aptos"/>
                <w:sz w:val="16"/>
              </w:rPr>
              <w:t>ROADMAP.md</w:t>
            </w:r>
          </w:p>
        </w:tc>
      </w:tr>
      <w:tr>
        <w:trPr>
          <w:cantSplit/>
        </w:trPr>
        <w:tc>
          <w:tcPr>
            <w:tcW w:type="dxa" w:w="2731"/>
            <w:shd w:fill="EAF1F3"/>
          </w:tcPr>
          <w:p>
            <w:r>
              <w:rPr>
                <w:rFonts w:ascii="Aptos" w:hAnsi="Aptos"/>
                <w:sz w:val="16"/>
              </w:rPr>
              <w:t>Status</w:t>
            </w:r>
          </w:p>
        </w:tc>
        <w:tc>
          <w:tcPr>
            <w:tcW w:type="dxa" w:w="7435"/>
            <w:shd w:fill="EAF1F3"/>
          </w:tcPr>
          <w:p>
            <w:r>
              <w:rPr>
                <w:rFonts w:ascii="Aptos" w:hAnsi="Aptos"/>
                <w:sz w:val="16"/>
              </w:rPr>
              <w:t>CANONICAL - gate order and the open-fork ledger.</w:t>
            </w:r>
          </w:p>
        </w:tc>
      </w:tr>
    </w:tbl>
    <w:p>
      <w:pPr>
        <w:pStyle w:val="Heading1"/>
      </w:pPr>
      <w:r>
        <w:t>Gate order</w:t>
      </w:r>
    </w:p>
    <w:p>
      <w:r>
        <w:t>Each gate is narrow enough that a failure is attributable to one subsystem. A gate is not passed on code presence; it is passed on observed behavior.</w:t>
      </w:r>
    </w:p>
    <w:p>
      <w:pPr>
        <w:pStyle w:val="Heading2"/>
      </w:pPr>
      <w:r>
        <w:t>G0 — Verification</w:t>
      </w:r>
    </w:p>
    <w:p>
      <w:r>
        <w:t>The turn surface is established from the installed build with file-and-line evidence: how the engine turns a character (infection course, death, reanimation), what survives onto the reanimated object, the zombie update and AI seams, the sandbox zombie-lore options, and what the loaded recovery mods actually expose. Nothing proceeds on remembered API behavior. Findings land in FINDINGS.md from F-001.</w:t>
      </w:r>
    </w:p>
    <w:p>
      <w:pPr>
        <w:pStyle w:val="Heading2"/>
      </w:pPr>
      <w:r>
        <w:t>G1 — One brain per body</w:t>
      </w:r>
    </w:p>
    <w:p>
      <w:r>
        <w:t>A tracked person turns. With ZAO enabled, ZAO takes the body; with ZAO disabled, vanilla takes it; in both cases exactly one controller runs it, proven by observation, and Knox Survivors in the load order changes nothing about who owns the infected.</w:t>
      </w:r>
    </w:p>
    <w:p>
      <w:pPr>
        <w:pStyle w:val="Heading2"/>
      </w:pPr>
      <w:r>
        <w:t>G2 — The record rides the body</w:t>
      </w:r>
    </w:p>
    <w:p>
      <w:r>
        <w:t>The person's record reaches the turned body with provenance intact and begins to rot. Inspection shows what remains and what has gone. A turned body never acts on a fact its person did not hold.</w:t>
      </w:r>
    </w:p>
    <w:p>
      <w:pPr>
        <w:pStyle w:val="Heading2"/>
      </w:pPr>
      <w:r>
        <w:t>G3 — Retention in action</w:t>
      </w:r>
    </w:p>
    <w:p>
      <w:r>
        <w:t>Early post-turn verbs through engine paths — a door, a window, whatever was in the hand — falling off at per-body speeds. Some bodies dump fast into an ordinary shambler; some keep more for longer. Retention only ever subtracts.</w:t>
      </w:r>
    </w:p>
    <w:p>
      <w:pPr>
        <w:pStyle w:val="Heading2"/>
      </w:pPr>
      <w:r>
        <w:t>G4 — The course</w:t>
      </w:r>
    </w:p>
    <w:p>
      <w:r>
        <w:t>Decay and mutation as their own substrate: both Knox ledgers live (epidemiological routes, epistemological visibility), recovery-mod state honored as input where loaded, ZAO's own course where not, outcomes held distinct per DR-008.</w:t>
      </w:r>
    </w:p>
    <w:p>
      <w:pPr>
        <w:pStyle w:val="Heading2"/>
      </w:pPr>
      <w:r>
        <w:t>G5 — Settlement formation</w:t>
      </w:r>
    </w:p>
    <w:p>
      <w:r>
        <w:t>Rare, whole, watchable: a group of the turned takes and keeps a new place — path, group, claim, tools, occupancy — robust enough to watch for as long as it stands.</w:t>
      </w:r>
    </w:p>
    <w:p>
      <w:r>
        <w:t>Gate content past G0 depends on forks below; a gate is refined when its fork closes, never widened silently.</w:t>
      </w:r>
    </w:p>
    <w:p>
      <w:pPr>
        <w:pStyle w:val="Heading1"/>
      </w:pPr>
      <w:r>
        <w:t>Current mechanical closure</w:t>
      </w:r>
    </w:p>
    <w:p>
      <w:r>
        <w:t>A39 replaces the old split execution contract with one ZAO driver for both living pathogen states. Afflicted and Crossed retain distinct policies, capabilities and action providers. Authorized Afflicted return, loaded/dormant handoff, conversion without executor replacement, state-specific holding evidence and source-owned body pressure now form one causal path. Crossed explicitly admit ordinary food through ordinary human caloric passage. Afflicted water, protein preference, penalized non-dairy alternatives and donor-conditioned human-meal protection form a distinct maintenance path.</w:t>
      </w:r>
    </w:p>
    <w:p>
      <w:r>
        <w:t>Crossed now have first material producers: interruptible exact-once butchery of eligible ordinary human corpses, human-flesh and donor provenance through cooked dishes, ordinary food as valid physiology, and finite blood uses deliberately prepared on the actual equipped melee or projectile weapon. Native hit resolution waits for a real wound; Afflicted exposure stays a separate pathogen action. Borders 5 and 9-13 cover pathogen time, external body lifecycle, action authorization, retained-shell coordination, shared execution, private non-nearest target selection, settlement evidence, sustenance, distinct maintenance, evidenced predatory results and contamination. G1-G3 still require loaded-world observation and the wider living action vocabulary.</w:t>
      </w:r>
    </w:p>
    <w:p>
      <w:r>
        <w:t>A40 adds the first durable state-authored social matters. Afflicted can ask actual known people for food or water from evidenced personal or settlement necessity; Crossed can ask evidenced associates to rendezvous and hold bounded ground. Each recipient appraises after actual acquisition from their current state, and accepted work reaches the sister's exact material or arrival owners. The process survives revision, conversion, interruption and reload. Border 15 proves these paths mechanically; loaded-world presentation and the wider life vocabulary remain open.</w:t>
      </w:r>
    </w:p>
    <w:p>
      <w:r>
        <w:t>A41 moves the registered living execution adapter into a shared module so the same owner serves loaded, dormant and headless coordination. It dispatches the final appraisal to distinct Afflicted or Crossed policy and retains missing representation as an observation gap. SAO C84 uses that owner in exact-replay causal episodes; the first tracked 30-day episode observes ZAO state changes but no shared matter. Wider producer density and loaded-world behavior remain open.</w:t>
      </w:r>
    </w:p>
    <w:p>
      <w:r>
        <w:t>A42 connects those state-authored situations to particular retained contacts through the common driver while keeping arrival, reception and response separate. It corrects Crossed maintenance to ordinary human caloric passage and rejects Afflicted donor provenance at option, timed-action, native-completion and SourceUse boundaries. Anonymous legacy human-origin food fails closed; intentional exposure remains separate and Afflicted food policy is unchanged. Focused controls and the full gate provide mechanical evidence. Loaded-world presentation, balance and long-horizon ecology remain open.</w:t>
      </w:r>
    </w:p>
    <w:p>
      <w:r>
        <w:t>A44 extends the same living driver with explicit auditory-orientation admission after action arbitration and state-owned rollback during elapsed body restoration. The paired SAO runtime owns fresh sound occurrence, native head/body pose, actual gaze and pharmacology; ZAO owns its driver and maintenance state. Border 12 reuses the shared instruments against exact current sources. The unchanged full gate passes against production C89 with no skips. Loaded-world sound response and restoration presentation remain open evidence.</w:t>
      </w:r>
    </w:p>
    <w:p>
      <w:pPr>
        <w:pStyle w:val="Heading1"/>
      </w:pPr>
      <w:r>
        <w:t>Open forks — reserved to the operator</w:t>
      </w:r>
    </w:p>
    <w:p>
      <w:r>
        <w:t>The standing ledger of decisions the operator has reserved or left open. Asked before they are needed; never authored into prose. Ratification lands in DECISION_REGISTRY.md and the fork is struck here.</w:t>
      </w:r>
    </w:p>
    <w:tbl>
      <w:tblPr>
        <w:tblStyle w:val="TableGrid"/>
        <w:tblW w:type="dxa" w:w="10166"/>
        <w:jc w:val="center"/>
        <w:tblLayout w:type="fixed"/>
        <w:tblLook w:firstColumn="1" w:firstRow="1" w:lastColumn="0" w:lastRow="0" w:noHBand="0" w:noVBand="1" w:val="04A0"/>
        <w:tblInd w:type="dxa" w:w="120"/>
      </w:tblPr>
      <w:tblGrid>
        <w:gridCol w:w="1156"/>
        <w:gridCol w:w="6264"/>
        <w:gridCol w:w="2746"/>
      </w:tblGrid>
      <w:tr>
        <w:trPr>
          <w:cantSplit/>
          <w:tblHeader/>
        </w:trPr>
        <w:tc>
          <w:tcPr>
            <w:tcW w:type="dxa" w:w="1156"/>
            <w:shd w:fill="316273"/>
          </w:tcPr>
          <w:p>
            <w:r>
              <w:rPr>
                <w:rFonts w:ascii="Aptos" w:hAnsi="Aptos"/>
                <w:b/>
                <w:color w:val="FFFFFF"/>
                <w:sz w:val="16"/>
              </w:rPr>
              <w:t>Fork</w:t>
            </w:r>
          </w:p>
        </w:tc>
        <w:tc>
          <w:tcPr>
            <w:tcW w:type="dxa" w:w="6264"/>
            <w:shd w:fill="316273"/>
          </w:tcPr>
          <w:p>
            <w:r>
              <w:rPr>
                <w:rFonts w:ascii="Aptos" w:hAnsi="Aptos"/>
                <w:b/>
                <w:color w:val="FFFFFF"/>
                <w:sz w:val="16"/>
              </w:rPr>
              <w:t>What it decides</w:t>
            </w:r>
          </w:p>
        </w:tc>
        <w:tc>
          <w:tcPr>
            <w:tcW w:type="dxa" w:w="2746"/>
            <w:shd w:fill="316273"/>
          </w:tcPr>
          <w:p>
            <w:r>
              <w:rPr>
                <w:rFonts w:ascii="Aptos" w:hAnsi="Aptos"/>
                <w:b/>
                <w:color w:val="FFFFFF"/>
                <w:sz w:val="16"/>
              </w:rPr>
              <w:t>Status</w:t>
            </w:r>
          </w:p>
        </w:tc>
      </w:tr>
      <w:tr>
        <w:trPr>
          <w:cantSplit/>
        </w:trPr>
        <w:tc>
          <w:tcPr>
            <w:tcW w:type="dxa" w:w="1156"/>
          </w:tcPr>
          <w:p>
            <w:r>
              <w:rPr>
                <w:rFonts w:ascii="Aptos" w:hAnsi="Aptos"/>
                <w:sz w:val="16"/>
              </w:rPr>
              <w:t>Mutation axes</w:t>
            </w:r>
          </w:p>
        </w:tc>
        <w:tc>
          <w:tcPr>
            <w:tcW w:type="dxa" w:w="6264"/>
          </w:tcPr>
          <w:p>
            <w:r>
              <w:rPr>
                <w:rFonts w:ascii="Aptos" w:hAnsi="Aptos"/>
                <w:sz w:val="16"/>
              </w:rPr>
              <w:t>The gradients and branches mutation moves on (DR-008 consequence). Operator direction of 2026-08-29: think in spectrums and gradients, branches that are not binaries, spectrums along each branch, variation at every level; decay can come back via mutation; end states can pass human strength and speed; hybridization on the table, both directions, good and bad; nothing gimmicky, no example names (the comics, the ghoul parallel) promoted into spec. Corrected by the operator after [A2]: the engine's per-body fields (F-005) are ACTUATORS the axes project onto, not the axis set — the design axes are ZAO's own and new, and the direction includes inverse/mirror axes. Neo drafts the interrelation of Knox, decay, and mutation; the operator ratifies.</w:t>
            </w:r>
          </w:p>
        </w:tc>
        <w:tc>
          <w:tcPr>
            <w:tcW w:type="dxa" w:w="2746"/>
          </w:tcPr>
          <w:p>
            <w:r>
              <w:rPr>
                <w:rFonts w:ascii="Aptos" w:hAnsi="Aptos"/>
                <w:sz w:val="16"/>
              </w:rPr>
              <w:t>ANSWERED at [A11] and integrated with the branching graph at [A17]: the pathogen owns the mutation roll and the roll for form performance, crossed is terminal, retained form traits are state rather than new branches, forms and attribute mutations stack, and forms enter Perception as visible facts. The runtime enumerates six capability forms and four attribute mutations, and DR-026 makes the state event-driven. Dial values remain open where the operator has not supplied them.</w:t>
            </w:r>
          </w:p>
        </w:tc>
      </w:tr>
      <w:tr>
        <w:trPr>
          <w:cantSplit/>
        </w:trPr>
        <w:tc>
          <w:tcPr>
            <w:tcW w:type="dxa" w:w="1156"/>
            <w:shd w:fill="EAF1F3"/>
          </w:tcPr>
          <w:p>
            <w:r>
              <w:rPr>
                <w:rFonts w:ascii="Aptos" w:hAnsi="Aptos"/>
                <w:sz w:val="16"/>
              </w:rPr>
              <w:t>Strain names</w:t>
            </w:r>
          </w:p>
        </w:tc>
        <w:tc>
          <w:tcPr>
            <w:tcW w:type="dxa" w:w="6264"/>
            <w:shd w:fill="EAF1F3"/>
          </w:tcPr>
          <w:p>
            <w:r>
              <w:rPr>
                <w:rFonts w:ascii="Aptos" w:hAnsi="Aptos"/>
                <w:sz w:val="16"/>
              </w:rPr>
              <w:t>Names for whatever the axes yield, and for the recognizable regions of the outcome space.</w:t>
            </w:r>
          </w:p>
        </w:tc>
        <w:tc>
          <w:tcPr>
            <w:tcW w:type="dxa" w:w="2746"/>
            <w:shd w:fill="EAF1F3"/>
          </w:tcPr>
          <w:p>
            <w:r>
              <w:rPr>
                <w:rFonts w:ascii="Aptos" w:hAnsi="Aptos"/>
                <w:sz w:val="16"/>
              </w:rPr>
              <w:t>ANSWERED at [A16] - the middle outcomes are defined in substance by the source-ported forms, with attributes and forms distinct but linked (DR-017). Player-facing words may still be chosen; the fork's question is answered.</w:t>
            </w:r>
          </w:p>
        </w:tc>
      </w:tr>
      <w:tr>
        <w:trPr>
          <w:cantSplit/>
        </w:trPr>
        <w:tc>
          <w:tcPr>
            <w:tcW w:type="dxa" w:w="1156"/>
          </w:tcPr>
          <w:p>
            <w:r>
              <w:rPr>
                <w:rFonts w:ascii="Aptos" w:hAnsi="Aptos"/>
                <w:sz w:val="16"/>
              </w:rPr>
              <w:t>Rarity</w:t>
            </w:r>
          </w:p>
        </w:tc>
        <w:tc>
          <w:tcPr>
            <w:tcW w:type="dxa" w:w="6264"/>
          </w:tcPr>
          <w:p>
            <w:r>
              <w:rPr>
                <w:rFonts w:ascii="Aptos" w:hAnsi="Aptos"/>
                <w:sz w:val="16"/>
              </w:rPr>
              <w:t>Numbers for the spread's tails and settlement frequency. The [A16] correction separates the two concerns the original fork combined.</w:t>
            </w:r>
          </w:p>
        </w:tc>
        <w:tc>
          <w:tcPr>
            <w:tcW w:type="dxa" w:w="2746"/>
          </w:tcPr>
          <w:p>
            <w:r>
              <w:rPr>
                <w:rFonts w:ascii="Aptos" w:hAnsi="Aptos"/>
                <w:sz w:val="16"/>
              </w:rPr>
              <w:t>OPEN - two concerns: the spread's tails; how often a settlement of the turned forms.</w:t>
            </w:r>
          </w:p>
        </w:tc>
      </w:tr>
      <w:tr>
        <w:trPr>
          <w:cantSplit/>
        </w:trPr>
        <w:tc>
          <w:tcPr>
            <w:tcW w:type="dxa" w:w="1156"/>
            <w:shd w:fill="EAF1F3"/>
          </w:tcPr>
          <w:p>
            <w:r>
              <w:rPr>
                <w:rFonts w:ascii="Aptos" w:hAnsi="Aptos"/>
                <w:sz w:val="16"/>
              </w:rPr>
              <w:t>Enable defaults</w:t>
            </w:r>
          </w:p>
        </w:tc>
        <w:tc>
          <w:tcPr>
            <w:tcW w:type="dxa" w:w="6264"/>
            <w:shd w:fill="EAF1F3"/>
          </w:tcPr>
          <w:p>
            <w:r>
              <w:rPr>
                <w:rFonts w:ascii="Aptos" w:hAnsi="Aptos"/>
                <w:sz w:val="16"/>
              </w:rPr>
              <w:t>~~Sandbox defaults: what ships on, what ships off.~~ RATIFIED (DR-025): forms on, 10% mutation odds, runtime controller on, world-space overlay on, and the state panel bound to O.</w:t>
            </w:r>
          </w:p>
        </w:tc>
        <w:tc>
          <w:tcPr>
            <w:tcW w:type="dxa" w:w="2746"/>
            <w:shd w:fill="EAF1F3"/>
          </w:tcPr>
          <w:p>
            <w:r>
              <w:rPr>
                <w:rFonts w:ascii="Aptos" w:hAnsi="Aptos"/>
                <w:sz w:val="16"/>
              </w:rPr>
              <w:t>CLOSED</w:t>
            </w:r>
          </w:p>
        </w:tc>
      </w:tr>
      <w:tr>
        <w:trPr>
          <w:cantSplit/>
        </w:trPr>
        <w:tc>
          <w:tcPr>
            <w:tcW w:type="dxa" w:w="1156"/>
          </w:tcPr>
          <w:p>
            <w:r>
              <w:rPr>
                <w:rFonts w:ascii="Aptos" w:hAnsi="Aptos"/>
                <w:sz w:val="16"/>
              </w:rPr>
              <w:t>Player on the axes</w:t>
            </w:r>
          </w:p>
        </w:tc>
        <w:tc>
          <w:tcPr>
            <w:tcW w:type="dxa" w:w="6264"/>
          </w:tcPr>
          <w:p>
            <w:r>
              <w:rPr>
                <w:rFonts w:ascii="Aptos" w:hAnsi="Aptos"/>
                <w:sz w:val="16"/>
              </w:rPr>
              <w:t>~~Whether the player walks the same mutation axes as NPCs.~~ RATIFIED as a rule (DR-012): per outcome, where the gameplay loop supports it; some outcomes NPC-only by design. Each shipped outcome still states its player-side answer at its own batch.</w:t>
            </w:r>
          </w:p>
        </w:tc>
        <w:tc>
          <w:tcPr>
            <w:tcW w:type="dxa" w:w="2746"/>
          </w:tcPr>
          <w:p>
            <w:r>
              <w:rPr>
                <w:rFonts w:ascii="Aptos" w:hAnsi="Aptos"/>
                <w:sz w:val="16"/>
              </w:rPr>
              <w:t>CLOSED to a per-outcome call</w:t>
            </w:r>
          </w:p>
        </w:tc>
      </w:tr>
      <w:tr>
        <w:trPr>
          <w:cantSplit/>
        </w:trPr>
        <w:tc>
          <w:tcPr>
            <w:tcW w:type="dxa" w:w="1156"/>
            <w:shd w:fill="EAF1F3"/>
          </w:tcPr>
          <w:p>
            <w:r>
              <w:rPr>
                <w:rFonts w:ascii="Aptos" w:hAnsi="Aptos"/>
                <w:sz w:val="16"/>
              </w:rPr>
              <w:t>SAO posture</w:t>
            </w:r>
          </w:p>
        </w:tc>
        <w:tc>
          <w:tcPr>
            <w:tcW w:type="dxa" w:w="6264"/>
            <w:shd w:fill="EAF1F3"/>
          </w:tcPr>
          <w:p>
            <w:r>
              <w:rPr>
                <w:rFonts w:ascii="Aptos" w:hAnsi="Aptos"/>
                <w:sz w:val="16"/>
              </w:rPr>
              <w:t>~~Whether ZAO requires SAO.~~ RATIFIED (DR-010): standalone and an integrated sister, both — read where present, derive where absent, one record shape.</w:t>
            </w:r>
          </w:p>
        </w:tc>
        <w:tc>
          <w:tcPr>
            <w:tcW w:type="dxa" w:w="2746"/>
            <w:shd w:fill="EAF1F3"/>
          </w:tcPr>
          <w:p>
            <w:r>
              <w:rPr>
                <w:rFonts w:ascii="Aptos" w:hAnsi="Aptos"/>
                <w:sz w:val="16"/>
              </w:rPr>
              <w:t>CLOSED</w:t>
            </w:r>
          </w:p>
        </w:tc>
      </w:tr>
      <w:tr>
        <w:trPr>
          <w:cantSplit/>
        </w:trPr>
        <w:tc>
          <w:tcPr>
            <w:tcW w:type="dxa" w:w="1156"/>
          </w:tcPr>
          <w:p>
            <w:r>
              <w:rPr>
                <w:rFonts w:ascii="Aptos" w:hAnsi="Aptos"/>
                <w:sz w:val="16"/>
              </w:rPr>
              <w:t>Preexisting zombies</w:t>
            </w:r>
          </w:p>
        </w:tc>
        <w:tc>
          <w:tcPr>
            <w:tcW w:type="dxa" w:w="6264"/>
          </w:tcPr>
          <w:p>
            <w:r>
              <w:rPr>
                <w:rFonts w:ascii="Aptos" w:hAnsi="Aptos"/>
                <w:sz w:val="16"/>
              </w:rPr>
              <w:t>~~Derived records or vanilla.~~ RATIFIED (DR-011): the ambient dead carry derived thin records, world-origin precedent.</w:t>
            </w:r>
          </w:p>
        </w:tc>
        <w:tc>
          <w:tcPr>
            <w:tcW w:type="dxa" w:w="2746"/>
          </w:tcPr>
          <w:p>
            <w:r>
              <w:rPr>
                <w:rFonts w:ascii="Aptos" w:hAnsi="Aptos"/>
                <w:sz w:val="16"/>
              </w:rPr>
              <w:t>CLOSED</w:t>
            </w:r>
          </w:p>
        </w:tc>
      </w:tr>
      <w:tr>
        <w:trPr>
          <w:cantSplit/>
        </w:trPr>
        <w:tc>
          <w:tcPr>
            <w:tcW w:type="dxa" w:w="1156"/>
            <w:shd w:fill="EAF1F3"/>
          </w:tcPr>
          <w:p>
            <w:r>
              <w:rPr>
                <w:rFonts w:ascii="Aptos" w:hAnsi="Aptos"/>
                <w:sz w:val="16"/>
              </w:rPr>
              <w:t>The claim surface</w:t>
            </w:r>
          </w:p>
        </w:tc>
        <w:tc>
          <w:tcPr>
            <w:tcW w:type="dxa" w:w="6264"/>
            <w:shd w:fill="EAF1F3"/>
          </w:tcPr>
          <w:p>
            <w:r>
              <w:rPr>
                <w:rFonts w:ascii="Aptos" w:hAnsi="Aptos"/>
                <w:sz w:val="16"/>
              </w:rPr>
              <w:t>~~Whether ZAO publishes a query letting another mod ask whether it owns a body, and how ZAO reads the same question of others.~~ RATIFIED (DR-024): ZAO.owns, ZAO.formOf, and ZAO.performanceOf are published as a read-only Lua surface.</w:t>
            </w:r>
          </w:p>
        </w:tc>
        <w:tc>
          <w:tcPr>
            <w:tcW w:type="dxa" w:w="2746"/>
            <w:shd w:fill="EAF1F3"/>
          </w:tcPr>
          <w:p>
            <w:r>
              <w:rPr>
                <w:rFonts w:ascii="Aptos" w:hAnsi="Aptos"/>
                <w:sz w:val="16"/>
              </w:rPr>
              <w:t>CLOSED</w:t>
            </w:r>
          </w:p>
        </w:tc>
      </w:tr>
      <w:tr>
        <w:trPr>
          <w:cantSplit/>
        </w:trPr>
        <w:tc>
          <w:tcPr>
            <w:tcW w:type="dxa" w:w="1156"/>
          </w:tcPr>
          <w:p>
            <w:r>
              <w:rPr>
                <w:rFonts w:ascii="Aptos" w:hAnsi="Aptos"/>
                <w:sz w:val="16"/>
              </w:rPr>
              <w:t>Mod id</w:t>
            </w:r>
          </w:p>
        </w:tc>
        <w:tc>
          <w:tcPr>
            <w:tcW w:type="dxa" w:w="6264"/>
          </w:tcPr>
          <w:p>
            <w:r>
              <w:rPr>
                <w:rFonts w:ascii="Aptos" w:hAnsi="Aptos"/>
                <w:sz w:val="16"/>
              </w:rPr>
              <w:t>~~The stable id, before the mod tree ships; changing it later breaks saves.~~ RATIFIED (DR-023): ZombieAwareness.</w:t>
            </w:r>
          </w:p>
        </w:tc>
        <w:tc>
          <w:tcPr>
            <w:tcW w:type="dxa" w:w="2746"/>
          </w:tcPr>
          <w:p>
            <w:r>
              <w:rPr>
                <w:rFonts w:ascii="Aptos" w:hAnsi="Aptos"/>
                <w:sz w:val="16"/>
              </w:rPr>
              <w:t>CLOSED</w:t>
            </w:r>
          </w:p>
        </w:tc>
      </w:tr>
      <w:tr>
        <w:trPr>
          <w:cantSplit/>
        </w:trPr>
        <w:tc>
          <w:tcPr>
            <w:tcW w:type="dxa" w:w="1156"/>
            <w:shd w:fill="EAF1F3"/>
          </w:tcPr>
          <w:p>
            <w:r>
              <w:rPr>
                <w:rFonts w:ascii="Aptos" w:hAnsi="Aptos"/>
                <w:sz w:val="16"/>
              </w:rPr>
              <w:t>Publication</w:t>
            </w:r>
          </w:p>
        </w:tc>
        <w:tc>
          <w:tcPr>
            <w:tcW w:type="dxa" w:w="6264"/>
            <w:shd w:fill="EAF1F3"/>
          </w:tcPr>
          <w:p>
            <w:r>
              <w:rPr>
                <w:rFonts w:ascii="Aptos" w:hAnsi="Aptos"/>
                <w:sz w:val="16"/>
              </w:rPr>
              <w:t>Whether and when this repository gets a public remote.</w:t>
            </w:r>
          </w:p>
        </w:tc>
        <w:tc>
          <w:tcPr>
            <w:tcW w:type="dxa" w:w="2746"/>
            <w:shd w:fill="EAF1F3"/>
          </w:tcPr>
          <w:p>
            <w:r>
              <w:rPr>
                <w:rFonts w:ascii="Aptos" w:hAnsi="Aptos"/>
                <w:sz w:val="16"/>
              </w:rPr>
              <w:t>OPEN — local-first until directed</w:t>
            </w:r>
          </w:p>
        </w:tc>
      </w:tr>
    </w:tbl>
    <w:p>
      <w:pPr>
        <w:pStyle w:val="Heading1"/>
      </w:pPr>
      <w:r>
        <w:t>Deferred</w:t>
      </w:r>
    </w:p>
    <w:p>
      <w:r>
        <w:t>Deferred items are recorded so the gates are not widened to accommodate them; they are not scheduled.</w:t>
      </w:r>
    </w:p>
    <w:p>
      <w:pPr>
        <w:pStyle w:val="ListBullet"/>
      </w:pPr>
      <w:r>
        <w:t>Playtesting of any kind: play is later, one project at a time, when the</w:t>
      </w:r>
    </w:p>
    <w:p>
      <w:r>
        <w:t>operator says. ZAO and SAO are not tested in the same window.</w:t>
      </w:r>
    </w:p>
    <w:p>
      <w:pPr>
        <w:pStyle w:val="ListBullet"/>
      </w:pPr>
      <w:r>
        <w:t>Any UI beyond what existing moodle art and diagnostic output provide.</w:t>
      </w:r>
    </w:p>
    <w:sectPr w:rsidR="00FC693F" w:rsidRPr="0006063C" w:rsidSect="00034616">
      <w:footerReference w:type="default" r:id="rId9"/>
      <w:pgSz w:w="12240" w:h="15840"/>
      <w:pgMar w:top="749"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Zombie Awareness Overhaul | 0.5.4.0-pre-alpha | A44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62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62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1627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31627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dc:title>
  <dc:subject>Readable export of ROADMAP.md</dc:subject>
  <dc:creator>ellyj3rain</dc:creator>
  <cp:keywords>Project Zomboid, Zombie Awareness, A44</cp:keywords>
  <dc:description>generated by python-docx</dc:description>
  <cp:lastModifiedBy/>
  <cp:revision>1</cp:revision>
  <dcterms:created xsi:type="dcterms:W3CDTF">2013-12-23T23:15:00Z</dcterms:created>
  <dcterms:modified xsi:type="dcterms:W3CDTF">2013-12-23T23:15:00Z</dcterms:modified>
  <cp:category/>
</cp:coreProperties>
</file>