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Zombie Awareness Overhaul Memory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`0.5.4.1-pre-alpha`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`MEMORY.md`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ACTIVE - index of every root document and its standing.</w:t>
            </w:r>
          </w:p>
        </w:tc>
      </w:tr>
    </w:tbl>
    <w:p/>
    <w:p>
      <w:pPr>
        <w:pStyle w:val="Heading1"/>
      </w:pPr>
      <w:r>
        <w:t>Memory</w:t>
      </w:r>
    </w:p>
    <w:p/>
    <w:p>
      <w:r>
        <w:t>Index of every document at the repository root, with what it is and whether</w:t>
      </w:r>
    </w:p>
    <w:p>
      <w:r>
        <w:t>it is current. Nothing at the root is unclassified.</w:t>
      </w:r>
    </w:p>
    <w:p/>
    <w:p>
      <w:pPr>
        <w:pStyle w:val="Heading2"/>
      </w:pPr>
      <w:r>
        <w:t>Status vocabulary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CANONICAL</w:t>
            </w:r>
          </w:p>
        </w:tc>
        <w:tc>
          <w:tcPr>
            <w:tcW w:type="dxa" w:w="4320"/>
          </w:tcPr>
          <w:p>
            <w:r>
              <w:t>Current truth. Edit in place when superseded.</w:t>
            </w:r>
          </w:p>
        </w:tc>
      </w:tr>
      <w:tr>
        <w:tc>
          <w:tcPr>
            <w:tcW w:type="dxa" w:w="4320"/>
          </w:tcPr>
          <w:p>
            <w:r>
              <w:t>CANONICAL, APPEND-ONLY</w:t>
            </w:r>
          </w:p>
        </w:tc>
        <w:tc>
          <w:tcPr>
            <w:tcW w:type="dxa" w:w="4320"/>
          </w:tcPr>
          <w:p>
            <w:r>
              <w:t>Current, extended through new entries; prior substance is fixed.</w:t>
            </w:r>
          </w:p>
        </w:tc>
      </w:tr>
      <w:tr>
        <w:tc>
          <w:tcPr>
            <w:tcW w:type="dxa" w:w="4320"/>
          </w:tcPr>
          <w:p>
            <w:r>
              <w:t>REGULATORY</w:t>
            </w:r>
          </w:p>
        </w:tc>
        <w:tc>
          <w:tcPr>
            <w:tcW w:type="dxa" w:w="4320"/>
          </w:tcPr>
          <w:p>
            <w:r>
              <w:t>Active index. May be corrected without rewriting what it organizes.</w:t>
            </w:r>
          </w:p>
        </w:tc>
      </w:tr>
      <w:tr>
        <w:tc>
          <w:tcPr>
            <w:tcW w:type="dxa" w:w="4320"/>
          </w:tcPr>
          <w:p>
            <w:r>
              <w:t>SHIM</w:t>
            </w:r>
          </w:p>
        </w:tc>
        <w:tc>
          <w:tcPr>
            <w:tcW w:type="dxa" w:w="4320"/>
          </w:tcPr>
          <w:p>
            <w:r>
              <w:t>Pointer file.</w:t>
            </w:r>
          </w:p>
        </w:tc>
      </w:tr>
    </w:tbl>
    <w:p/>
    <w:p>
      <w:pPr>
        <w:pStyle w:val="Heading2"/>
      </w:pPr>
      <w:r>
        <w:t>Canonical doc-pack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</w:tr>
      <w:tr>
        <w:tc>
          <w:tcPr>
            <w:tcW w:type="dxa" w:w="2880"/>
          </w:tcPr>
          <w:p>
            <w:r>
              <w:t>`README.md`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Human entry point.</w:t>
            </w:r>
          </w:p>
        </w:tc>
      </w:tr>
      <w:tr>
        <w:tc>
          <w:tcPr>
            <w:tcW w:type="dxa" w:w="2880"/>
          </w:tcPr>
          <w:p>
            <w:r>
              <w:t>`MEMORY.md`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This index.</w:t>
            </w:r>
          </w:p>
        </w:tc>
      </w:tr>
      <w:tr>
        <w:tc>
          <w:tcPr>
            <w:tcW w:type="dxa" w:w="2880"/>
          </w:tcPr>
          <w:p>
            <w:r>
              <w:t>`CORE.md`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Project identity, the two mechanisms, governing constraints.</w:t>
            </w:r>
          </w:p>
        </w:tc>
      </w:tr>
      <w:tr>
        <w:tc>
          <w:tcPr>
            <w:tcW w:type="dxa" w:w="2880"/>
          </w:tcPr>
          <w:p>
            <w:r>
              <w:t>`ARCHITECTURE.md`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Ratified framework shape; the ownership seam; what is not ratified.</w:t>
            </w:r>
          </w:p>
        </w:tc>
      </w:tr>
      <w:tr>
        <w:tc>
          <w:tcPr>
            <w:tcW w:type="dxa" w:w="2880"/>
          </w:tcPr>
          <w:p>
            <w:r>
              <w:t>`GOVERNANCE.md`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Operating discipline and judgement rules.</w:t>
            </w:r>
          </w:p>
        </w:tc>
      </w:tr>
      <w:tr>
        <w:tc>
          <w:tcPr>
            <w:tcW w:type="dxa" w:w="2880"/>
          </w:tcPr>
          <w:p>
            <w:r>
              <w:t>`DECISION_REGISTRY.md`</w:t>
            </w:r>
          </w:p>
        </w:tc>
        <w:tc>
          <w:tcPr>
            <w:tcW w:type="dxa" w:w="2880"/>
          </w:tcPr>
          <w:p>
            <w:r>
              <w:t>CANONICAL, APPEND-ONLY</w:t>
            </w:r>
          </w:p>
        </w:tc>
        <w:tc>
          <w:tcPr>
            <w:tcW w:type="dxa" w:w="2880"/>
          </w:tcPr>
          <w:p>
            <w:r>
              <w:t>Ratified decisions from DR-001.</w:t>
            </w:r>
          </w:p>
        </w:tc>
      </w:tr>
      <w:tr>
        <w:tc>
          <w:tcPr>
            <w:tcW w:type="dxa" w:w="2880"/>
          </w:tcPr>
          <w:p>
            <w:r>
              <w:t>`FINDINGS.md`</w:t>
            </w:r>
          </w:p>
        </w:tc>
        <w:tc>
          <w:tcPr>
            <w:tcW w:type="dxa" w:w="2880"/>
          </w:tcPr>
          <w:p>
            <w:r>
              <w:t>CANONICAL, APPEND-ONLY</w:t>
            </w:r>
          </w:p>
        </w:tc>
        <w:tc>
          <w:tcPr>
            <w:tcW w:type="dxa" w:w="2880"/>
          </w:tcPr>
          <w:p>
            <w:r>
              <w:t>Verified engine findings from F-001; empty by design until G0.</w:t>
            </w:r>
          </w:p>
        </w:tc>
      </w:tr>
      <w:tr>
        <w:tc>
          <w:tcPr>
            <w:tcW w:type="dxa" w:w="2880"/>
          </w:tcPr>
          <w:p>
            <w:r>
              <w:t>`BATCH_LOG.md`</w:t>
            </w:r>
          </w:p>
        </w:tc>
        <w:tc>
          <w:tcPr>
            <w:tcW w:type="dxa" w:w="2880"/>
          </w:tcPr>
          <w:p>
            <w:r>
              <w:t>REGULATORY</w:t>
            </w:r>
          </w:p>
        </w:tc>
        <w:tc>
          <w:tcPr>
            <w:tcW w:type="dxa" w:w="2880"/>
          </w:tcPr>
          <w:p>
            <w:r>
              <w:t>Chronological index for the batch sequence.</w:t>
            </w:r>
          </w:p>
        </w:tc>
      </w:tr>
      <w:tr>
        <w:tc>
          <w:tcPr>
            <w:tcW w:type="dxa" w:w="2880"/>
          </w:tcPr>
          <w:p>
            <w:r>
              <w:t>`VERSION_MAP.md`</w:t>
            </w:r>
          </w:p>
        </w:tc>
        <w:tc>
          <w:tcPr>
            <w:tcW w:type="dxa" w:w="2880"/>
          </w:tcPr>
          <w:p>
            <w:r>
              <w:t>REGULATORY</w:t>
            </w:r>
          </w:p>
        </w:tc>
        <w:tc>
          <w:tcPr>
            <w:tcW w:type="dxa" w:w="2880"/>
          </w:tcPr>
          <w:p>
            <w:r>
              <w:t>The version machine's rendering over the closed chronology.</w:t>
            </w:r>
          </w:p>
        </w:tc>
      </w:tr>
      <w:tr>
        <w:tc>
          <w:tcPr>
            <w:tcW w:type="dxa" w:w="2880"/>
          </w:tcPr>
          <w:p>
            <w:r>
              <w:t>`ROADMAP.md`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Gate order and the open-fork ledger.</w:t>
            </w:r>
          </w:p>
        </w:tc>
      </w:tr>
      <w:tr>
        <w:tc>
          <w:tcPr>
            <w:tcW w:type="dxa" w:w="2880"/>
          </w:tcPr>
          <w:p>
            <w:r>
              <w:t>`SESSION_STATE.md`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Where the work actually stands.</w:t>
            </w:r>
          </w:p>
        </w:tc>
      </w:tr>
      <w:tr>
        <w:tc>
          <w:tcPr>
            <w:tcW w:type="dxa" w:w="2880"/>
          </w:tcPr>
          <w:p>
            <w:r>
              <w:t>`ENGINE_CONTRACT.md`</w:t>
            </w:r>
          </w:p>
        </w:tc>
        <w:tc>
          <w:tcPr>
            <w:tcW w:type="dxa" w:w="2880"/>
          </w:tcPr>
          <w:p>
            <w:r>
              <w:t>CANONICAL, INCOMPLETE</w:t>
            </w:r>
          </w:p>
        </w:tc>
        <w:tc>
          <w:tcPr>
            <w:tcW w:type="dxa" w:w="2880"/>
          </w:tcPr>
          <w:p>
            <w:r>
              <w:t>The engine mechanics the turned require, with their recorded source evidence.</w:t>
            </w:r>
          </w:p>
        </w:tc>
      </w:tr>
      <w:tr>
        <w:tc>
          <w:tcPr>
            <w:tcW w:type="dxa" w:w="2880"/>
          </w:tcPr>
          <w:p>
            <w:r>
              <w:t>`SAO_SEAM_AUDIT.md`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Reference audit of the sister at the turn; collision points and precedents.</w:t>
            </w:r>
          </w:p>
        </w:tc>
      </w:tr>
      <w:tr>
        <w:tc>
          <w:tcPr>
            <w:tcW w:type="dxa" w:w="2880"/>
          </w:tcPr>
          <w:p>
            <w:r>
              <w:t>`VERSION`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The machine's output. Every root header's `Version` cell reads this and nothing else.</w:t>
            </w:r>
          </w:p>
        </w:tc>
      </w:tr>
      <w:tr>
        <w:tc>
          <w:tcPr>
            <w:tcW w:type="dxa" w:w="2880"/>
          </w:tcPr>
          <w:p>
            <w:r>
              <w:t>`LICENSE`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GPL-3.0.</w:t>
            </w:r>
          </w:p>
        </w:tc>
      </w:tr>
      <w:tr>
        <w:tc>
          <w:tcPr>
            <w:tcW w:type="dxa" w:w="2880"/>
          </w:tcPr>
          <w:p>
            <w:r>
              <w:t>`CREDITS.md`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Attribution and integration status per source; every entry states what was taken and what was not.</w:t>
            </w:r>
          </w:p>
        </w:tc>
      </w:tr>
      <w:tr>
        <w:tc>
          <w:tcPr>
            <w:tcW w:type="dxa" w:w="2880"/>
          </w:tcPr>
          <w:p>
            <w:r>
              <w:t>`MUTATION.md`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The mutation system as the operator defined it: what the pathogen does to a body and what that body becomes, with every dial named.</w:t>
            </w:r>
          </w:p>
        </w:tc>
      </w:tr>
      <w:tr>
        <w:tc>
          <w:tcPr>
            <w:tcW w:type="dxa" w:w="2880"/>
          </w:tcPr>
          <w:p>
            <w:r>
              <w:t>`FORMS.md`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The six source-port forms, the 10 percent pathogen roll, and the normalized performance state.</w:t>
            </w:r>
          </w:p>
        </w:tc>
      </w:tr>
    </w:tbl>
    <w:p/>
    <w:p>
      <w:pPr>
        <w:pStyle w:val="Heading2"/>
      </w:pPr>
      <w:r>
        <w:t>Instruction surface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</w:tr>
      <w:tr>
        <w:tc>
          <w:tcPr>
            <w:tcW w:type="dxa" w:w="2880"/>
          </w:tcPr>
          <w:p>
            <w:r>
              <w:t>`NEO.md`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The instruction surface. Read first.</w:t>
            </w:r>
          </w:p>
        </w:tc>
      </w:tr>
      <w:tr>
        <w:tc>
          <w:tcPr>
            <w:tcW w:type="dxa" w:w="2880"/>
          </w:tcPr>
          <w:p>
            <w:r>
              <w:t>`CLAUDE.md`</w:t>
            </w:r>
          </w:p>
        </w:tc>
        <w:tc>
          <w:tcPr>
            <w:tcW w:type="dxa" w:w="2880"/>
          </w:tcPr>
          <w:p>
            <w:r>
              <w:t>SHIM</w:t>
            </w:r>
          </w:p>
        </w:tc>
        <w:tc>
          <w:tcPr>
            <w:tcW w:type="dxa" w:w="2880"/>
          </w:tcPr>
          <w:p>
            <w:r>
              <w:t>Autoload pointer to `NEO.md`.</w:t>
            </w:r>
          </w:p>
        </w:tc>
      </w:tr>
      <w:tr>
        <w:tc>
          <w:tcPr>
            <w:tcW w:type="dxa" w:w="2880"/>
          </w:tcPr>
          <w:p>
            <w:r>
              <w:t>`AGENTS.md`</w:t>
            </w:r>
          </w:p>
        </w:tc>
        <w:tc>
          <w:tcPr>
            <w:tcW w:type="dxa" w:w="2880"/>
          </w:tcPr>
          <w:p>
            <w:r>
              <w:t>SHIM</w:t>
            </w:r>
          </w:p>
        </w:tc>
        <w:tc>
          <w:tcPr>
            <w:tcW w:type="dxa" w:w="2880"/>
          </w:tcPr>
          <w:p>
            <w:r>
              <w:t>Autoload pointer to `NEO.md`.</w:t>
            </w:r>
          </w:p>
        </w:tc>
      </w:tr>
    </w:tbl>
    <w:p/>
    <w:p>
      <w:pPr>
        <w:pStyle w:val="Heading2"/>
      </w:pPr>
      <w:r>
        <w:t>Directories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Path</w:t>
            </w:r>
          </w:p>
        </w:tc>
        <w:tc>
          <w:tcPr>
            <w:tcW w:type="dxa" w:w="4320"/>
          </w:tcPr>
          <w:p>
            <w:r>
              <w:t>Role</w:t>
            </w:r>
          </w:p>
        </w:tc>
      </w:tr>
      <w:tr>
        <w:tc>
          <w:tcPr>
            <w:tcW w:type="dxa" w:w="4320"/>
          </w:tcPr>
          <w:p>
            <w:r>
              <w:t>`Batches/`</w:t>
            </w:r>
          </w:p>
        </w:tc>
        <w:tc>
          <w:tcPr>
            <w:tcW w:type="dxa" w:w="4320"/>
          </w:tcPr>
          <w:p>
            <w:r>
              <w:t>One alphanumeric batch sequence; one record per closed batch; the thread index.</w:t>
            </w:r>
          </w:p>
        </w:tc>
      </w:tr>
      <w:tr>
        <w:tc>
          <w:tcPr>
            <w:tcW w:type="dxa" w:w="4320"/>
          </w:tcPr>
          <w:p>
            <w:r>
              <w:t>`tools/`</w:t>
            </w:r>
          </w:p>
        </w:tc>
        <w:tc>
          <w:tcPr>
            <w:tcW w:type="dxa" w:w="4320"/>
          </w:tcPr>
          <w:p>
            <w:r>
              <w:t>The evidence apparatus: the borders, `check.sh`, the version machine, the pre-commit hook.</w:t>
            </w:r>
          </w:p>
        </w:tc>
      </w:tr>
    </w:tbl>
    <w:p/>
    <w:p>
      <w:r>
        <w:t>`artifacts/docx/` holds generated readable exports; the corresponding Markdown remains the working source.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